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17.760pt;margin-top:18pt;width:576.25pt;height:750pt;mso-position-horizontal-relative:page;mso-position-vertical-relative:page;z-index:-253986816" coordorigin="355,360" coordsize="11525,15000">
            <v:shape style="position:absolute;left:355;top:360;width:11525;height:1925" type="#_x0000_t75" stroked="false">
              <v:imagedata r:id="rId5" o:title=""/>
            </v:shape>
            <v:line style="position:absolute" from="523,545" to="11674,545" stroked="true" strokeweight="2.159998pt" strokecolor="#000000">
              <v:stroke dashstyle="solid"/>
            </v:line>
            <v:rect style="position:absolute;left:11673;top:523;width:44;height:44" filled="true" fillcolor="#000000" stroked="false">
              <v:fill type="solid"/>
            </v:rect>
            <v:line style="position:absolute" from="545,566" to="545,15317" stroked="true" strokeweight="2.159998pt" strokecolor="#000000">
              <v:stroke dashstyle="solid"/>
            </v:line>
            <v:line style="position:absolute" from="11717,566" to="11717,15274" stroked="true" strokeweight="4.320008pt" strokecolor="#000000">
              <v:stroke dashstyle="solid"/>
            </v:line>
            <v:line style="position:absolute" from="566,15317" to="11674,15317" stroked="true" strokeweight="4.320008pt" strokecolor="#000000">
              <v:stroke dashstyle="solid"/>
            </v:line>
            <v:shape style="position:absolute;left:11673;top:15273;width:87;height:87" coordorigin="11674,15274" coordsize="87,87" path="m11760,15274l11717,15274,11674,15274,11674,15317,11674,15360,11717,15360,11760,15360,11760,15317,11760,15274e" filled="true" fillcolor="#000000" stroked="false">
              <v:path arrowok="t"/>
              <v:fill type="solid"/>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27"/>
        </w:rPr>
      </w:pPr>
    </w:p>
    <w:p>
      <w:pPr>
        <w:pStyle w:val="BodyText"/>
        <w:ind w:left="2976"/>
        <w:rPr>
          <w:rFonts w:ascii="Times New Roman"/>
          <w:sz w:val="20"/>
        </w:rPr>
      </w:pPr>
      <w:r>
        <w:rPr>
          <w:rFonts w:ascii="Times New Roman"/>
          <w:sz w:val="20"/>
        </w:rPr>
        <w:drawing>
          <wp:inline distT="0" distB="0" distL="0" distR="0">
            <wp:extent cx="2776728" cy="1365503"/>
            <wp:effectExtent l="0" t="0" r="0" b="0"/>
            <wp:docPr id="1" name="image2.jpeg"/>
            <wp:cNvGraphicFramePr>
              <a:graphicFrameLocks noChangeAspect="1"/>
            </wp:cNvGraphicFramePr>
            <a:graphic>
              <a:graphicData uri="http://schemas.openxmlformats.org/drawingml/2006/picture">
                <pic:pic>
                  <pic:nvPicPr>
                    <pic:cNvPr id="2" name="image2.jpeg"/>
                    <pic:cNvPicPr/>
                  </pic:nvPicPr>
                  <pic:blipFill>
                    <a:blip r:embed="rId6" cstate="print"/>
                    <a:stretch>
                      <a:fillRect/>
                    </a:stretch>
                  </pic:blipFill>
                  <pic:spPr>
                    <a:xfrm>
                      <a:off x="0" y="0"/>
                      <a:ext cx="2776728" cy="1365503"/>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rPr>
          <w:rFonts w:ascii="Times New Roman"/>
          <w:sz w:val="16"/>
        </w:rPr>
      </w:pPr>
    </w:p>
    <w:p>
      <w:pPr>
        <w:spacing w:before="67"/>
        <w:ind w:left="1046" w:right="1054" w:firstLine="0"/>
        <w:jc w:val="center"/>
        <w:rPr>
          <w:sz w:val="77"/>
        </w:rPr>
      </w:pPr>
      <w:r>
        <w:rPr>
          <w:sz w:val="96"/>
        </w:rPr>
        <w:t>C</w:t>
      </w:r>
      <w:r>
        <w:rPr>
          <w:sz w:val="77"/>
        </w:rPr>
        <w:t>ITY OF </w:t>
      </w:r>
      <w:r>
        <w:rPr>
          <w:sz w:val="96"/>
        </w:rPr>
        <w:t>E</w:t>
      </w:r>
      <w:r>
        <w:rPr>
          <w:sz w:val="77"/>
        </w:rPr>
        <w:t>SCONDIDO</w:t>
      </w:r>
    </w:p>
    <w:p>
      <w:pPr>
        <w:spacing w:before="2"/>
        <w:ind w:left="1046" w:right="1049" w:firstLine="0"/>
        <w:jc w:val="center"/>
        <w:rPr>
          <w:sz w:val="48"/>
        </w:rPr>
      </w:pPr>
      <w:r>
        <w:rPr>
          <w:sz w:val="48"/>
        </w:rPr>
        <w:t>R</w:t>
      </w:r>
      <w:r>
        <w:rPr>
          <w:sz w:val="38"/>
        </w:rPr>
        <w:t>EQUEST FOR </w:t>
      </w:r>
      <w:r>
        <w:rPr>
          <w:sz w:val="48"/>
        </w:rPr>
        <w:t>P</w:t>
      </w:r>
      <w:r>
        <w:rPr>
          <w:sz w:val="38"/>
        </w:rPr>
        <w:t>ROPOSAL </w:t>
      </w:r>
      <w:r>
        <w:rPr>
          <w:sz w:val="48"/>
        </w:rPr>
        <w:t>RFP #21-04</w:t>
      </w:r>
    </w:p>
    <w:p>
      <w:pPr>
        <w:pStyle w:val="BodyText"/>
        <w:spacing w:before="8"/>
        <w:rPr>
          <w:sz w:val="47"/>
        </w:rPr>
      </w:pPr>
    </w:p>
    <w:p>
      <w:pPr>
        <w:spacing w:line="259" w:lineRule="auto" w:before="0"/>
        <w:ind w:left="1255" w:right="1261" w:hanging="1"/>
        <w:jc w:val="center"/>
        <w:rPr>
          <w:sz w:val="51"/>
        </w:rPr>
      </w:pPr>
      <w:r>
        <w:rPr>
          <w:sz w:val="64"/>
        </w:rPr>
        <w:t>W</w:t>
      </w:r>
      <w:r>
        <w:rPr>
          <w:sz w:val="51"/>
        </w:rPr>
        <w:t>ORKERS</w:t>
      </w:r>
      <w:r>
        <w:rPr>
          <w:sz w:val="64"/>
        </w:rPr>
        <w:t>’ C</w:t>
      </w:r>
      <w:r>
        <w:rPr>
          <w:sz w:val="51"/>
        </w:rPr>
        <w:t>OMPENSATION </w:t>
      </w:r>
      <w:r>
        <w:rPr>
          <w:sz w:val="64"/>
        </w:rPr>
        <w:t>C</w:t>
      </w:r>
      <w:r>
        <w:rPr>
          <w:sz w:val="51"/>
        </w:rPr>
        <w:t>LAIMS </w:t>
      </w:r>
      <w:r>
        <w:rPr>
          <w:sz w:val="64"/>
        </w:rPr>
        <w:t>A</w:t>
      </w:r>
      <w:r>
        <w:rPr>
          <w:sz w:val="51"/>
        </w:rPr>
        <w:t>DMINISTRATION AND MANAGED CARE SERVICES</w:t>
      </w:r>
    </w:p>
    <w:p>
      <w:pPr>
        <w:spacing w:after="0" w:line="259" w:lineRule="auto"/>
        <w:jc w:val="center"/>
        <w:rPr>
          <w:sz w:val="51"/>
        </w:rPr>
        <w:sectPr>
          <w:type w:val="continuous"/>
          <w:pgSz w:w="12240" w:h="15840"/>
          <w:pgMar w:top="1500" w:bottom="280" w:left="960" w:right="960"/>
        </w:sectPr>
      </w:pPr>
    </w:p>
    <w:p>
      <w:pPr>
        <w:spacing w:before="69"/>
        <w:ind w:left="1046" w:right="1046" w:firstLine="0"/>
        <w:jc w:val="center"/>
        <w:rPr>
          <w:b/>
          <w:sz w:val="24"/>
        </w:rPr>
      </w:pPr>
      <w:r>
        <w:rPr/>
        <w:pict>
          <v:group style="position:absolute;margin-left:26.160002pt;margin-top:26.160002pt;width:561.85pt;height:741.85pt;mso-position-horizontal-relative:page;mso-position-vertical-relative:page;z-index:-253985792" coordorigin="523,523" coordsize="11237,14837">
            <v:line style="position:absolute" from="523,545" to="11674,545" stroked="true" strokeweight="2.159998pt" strokecolor="#000000">
              <v:stroke dashstyle="solid"/>
            </v:line>
            <v:rect style="position:absolute;left:11673;top:523;width:44;height:44" filled="true" fillcolor="#000000" stroked="false">
              <v:fill type="solid"/>
            </v:rect>
            <v:line style="position:absolute" from="545,566" to="545,15317" stroked="true" strokeweight="2.159998pt" strokecolor="#000000">
              <v:stroke dashstyle="solid"/>
            </v:line>
            <v:line style="position:absolute" from="11717,566" to="11717,15274" stroked="true" strokeweight="4.320008pt" strokecolor="#000000">
              <v:stroke dashstyle="solid"/>
            </v:line>
            <v:line style="position:absolute" from="566,15317" to="11674,15317" stroked="true" strokeweight="4.320008pt" strokecolor="#000000">
              <v:stroke dashstyle="solid"/>
            </v:line>
            <v:shape style="position:absolute;left:11673;top:15273;width:87;height:87" coordorigin="11674,15274" coordsize="87,87" path="m11760,15274l11717,15274,11674,15274,11674,15317,11674,15360,11717,15360,11760,15360,11760,15317,11760,15274e" filled="true" fillcolor="#000000" stroked="false">
              <v:path arrowok="t"/>
              <v:fill type="solid"/>
            </v:shape>
            <w10:wrap type="none"/>
          </v:group>
        </w:pict>
      </w:r>
      <w:r>
        <w:rPr>
          <w:b/>
          <w:spacing w:val="-147"/>
          <w:sz w:val="24"/>
          <w:u w:val="thick"/>
        </w:rPr>
        <w:t>T</w:t>
      </w:r>
      <w:r>
        <w:rPr>
          <w:b/>
          <w:spacing w:val="83"/>
          <w:sz w:val="24"/>
        </w:rPr>
        <w:t> </w:t>
      </w:r>
      <w:r>
        <w:rPr>
          <w:b/>
          <w:sz w:val="24"/>
          <w:u w:val="thick"/>
        </w:rPr>
        <w:t>able of Contents</w:t>
      </w:r>
    </w:p>
    <w:p>
      <w:pPr>
        <w:pStyle w:val="BodyText"/>
        <w:rPr>
          <w:b/>
          <w:sz w:val="20"/>
        </w:rPr>
      </w:pPr>
    </w:p>
    <w:p>
      <w:pPr>
        <w:pStyle w:val="BodyText"/>
        <w:spacing w:before="10"/>
        <w:rPr>
          <w:b/>
          <w:sz w:val="15"/>
        </w:rPr>
      </w:pPr>
    </w:p>
    <w:p>
      <w:pPr>
        <w:tabs>
          <w:tab w:pos="9591" w:val="right" w:leader="dot"/>
        </w:tabs>
        <w:spacing w:before="94"/>
        <w:ind w:left="480" w:right="0" w:firstLine="0"/>
        <w:jc w:val="left"/>
        <w:rPr>
          <w:sz w:val="22"/>
        </w:rPr>
      </w:pPr>
      <w:r>
        <w:rPr>
          <w:b/>
          <w:sz w:val="22"/>
        </w:rPr>
        <w:t>SECTION A</w:t>
      </w:r>
      <w:r>
        <w:rPr>
          <w:b/>
          <w:spacing w:val="-3"/>
          <w:sz w:val="22"/>
        </w:rPr>
        <w:t> </w:t>
      </w:r>
      <w:r>
        <w:rPr>
          <w:sz w:val="22"/>
        </w:rPr>
        <w:t>-</w:t>
      </w:r>
      <w:r>
        <w:rPr>
          <w:spacing w:val="4"/>
          <w:sz w:val="22"/>
        </w:rPr>
        <w:t> </w:t>
      </w:r>
      <w:r>
        <w:rPr>
          <w:sz w:val="22"/>
        </w:rPr>
        <w:t>Schedule</w:t>
        <w:tab/>
        <w:t>2</w:t>
      </w:r>
    </w:p>
    <w:p>
      <w:pPr>
        <w:tabs>
          <w:tab w:pos="9617" w:val="right" w:leader="dot"/>
        </w:tabs>
        <w:spacing w:before="507"/>
        <w:ind w:left="480" w:right="0" w:firstLine="0"/>
        <w:jc w:val="left"/>
        <w:rPr>
          <w:sz w:val="22"/>
        </w:rPr>
      </w:pPr>
      <w:r>
        <w:rPr>
          <w:b/>
          <w:sz w:val="22"/>
        </w:rPr>
        <w:t>SECTION B </w:t>
      </w:r>
      <w:r>
        <w:rPr>
          <w:sz w:val="22"/>
        </w:rPr>
        <w:t>-</w:t>
      </w:r>
      <w:r>
        <w:rPr>
          <w:spacing w:val="4"/>
          <w:sz w:val="22"/>
        </w:rPr>
        <w:t> </w:t>
      </w:r>
      <w:r>
        <w:rPr>
          <w:sz w:val="22"/>
        </w:rPr>
        <w:t>Project</w:t>
      </w:r>
      <w:r>
        <w:rPr>
          <w:spacing w:val="-2"/>
          <w:sz w:val="22"/>
        </w:rPr>
        <w:t> </w:t>
      </w:r>
      <w:r>
        <w:rPr>
          <w:sz w:val="22"/>
        </w:rPr>
        <w:t>Objective</w:t>
        <w:tab/>
        <w:t>2</w:t>
      </w:r>
    </w:p>
    <w:p>
      <w:pPr>
        <w:tabs>
          <w:tab w:pos="9617" w:val="right" w:leader="dot"/>
        </w:tabs>
        <w:spacing w:before="506"/>
        <w:ind w:left="480" w:right="0" w:firstLine="0"/>
        <w:jc w:val="left"/>
        <w:rPr>
          <w:sz w:val="22"/>
        </w:rPr>
      </w:pPr>
      <w:r>
        <w:rPr>
          <w:b/>
          <w:sz w:val="22"/>
        </w:rPr>
        <w:t>SECTION C </w:t>
      </w:r>
      <w:r>
        <w:rPr>
          <w:sz w:val="22"/>
        </w:rPr>
        <w:t>-  Introduction</w:t>
      </w:r>
      <w:r>
        <w:rPr>
          <w:spacing w:val="-15"/>
          <w:sz w:val="22"/>
        </w:rPr>
        <w:t> </w:t>
      </w:r>
      <w:r>
        <w:rPr>
          <w:sz w:val="22"/>
        </w:rPr>
        <w:t>and</w:t>
      </w:r>
      <w:r>
        <w:rPr>
          <w:spacing w:val="1"/>
          <w:sz w:val="22"/>
        </w:rPr>
        <w:t> </w:t>
      </w:r>
      <w:r>
        <w:rPr>
          <w:sz w:val="22"/>
        </w:rPr>
        <w:t>Background</w:t>
        <w:tab/>
        <w:t>2</w:t>
      </w:r>
    </w:p>
    <w:p>
      <w:pPr>
        <w:tabs>
          <w:tab w:pos="9618" w:val="right" w:leader="dot"/>
        </w:tabs>
        <w:spacing w:before="505"/>
        <w:ind w:left="480" w:right="0" w:firstLine="0"/>
        <w:jc w:val="left"/>
        <w:rPr>
          <w:sz w:val="22"/>
        </w:rPr>
      </w:pPr>
      <w:r>
        <w:rPr>
          <w:b/>
          <w:sz w:val="22"/>
        </w:rPr>
        <w:t>SECTION D </w:t>
      </w:r>
      <w:r>
        <w:rPr>
          <w:sz w:val="22"/>
        </w:rPr>
        <w:t>- Scope</w:t>
      </w:r>
      <w:r>
        <w:rPr>
          <w:spacing w:val="2"/>
          <w:sz w:val="22"/>
        </w:rPr>
        <w:t> </w:t>
      </w:r>
      <w:r>
        <w:rPr>
          <w:sz w:val="22"/>
        </w:rPr>
        <w:t>of</w:t>
      </w:r>
      <w:r>
        <w:rPr>
          <w:spacing w:val="-2"/>
          <w:sz w:val="22"/>
        </w:rPr>
        <w:t> </w:t>
      </w:r>
      <w:r>
        <w:rPr>
          <w:sz w:val="22"/>
        </w:rPr>
        <w:t>Work</w:t>
        <w:tab/>
        <w:t>3</w:t>
      </w:r>
    </w:p>
    <w:p>
      <w:pPr>
        <w:tabs>
          <w:tab w:pos="9668" w:val="right" w:leader="dot"/>
        </w:tabs>
        <w:spacing w:before="506"/>
        <w:ind w:left="480" w:right="0" w:firstLine="0"/>
        <w:jc w:val="left"/>
        <w:rPr>
          <w:sz w:val="22"/>
        </w:rPr>
      </w:pPr>
      <w:r>
        <w:rPr>
          <w:b/>
          <w:sz w:val="22"/>
        </w:rPr>
        <w:t>SECTION E </w:t>
      </w:r>
      <w:r>
        <w:rPr>
          <w:sz w:val="22"/>
        </w:rPr>
        <w:t>-</w:t>
      </w:r>
      <w:r>
        <w:rPr>
          <w:spacing w:val="4"/>
          <w:sz w:val="22"/>
        </w:rPr>
        <w:t> </w:t>
      </w:r>
      <w:r>
        <w:rPr>
          <w:sz w:val="22"/>
        </w:rPr>
        <w:t>Proposal</w:t>
      </w:r>
      <w:r>
        <w:rPr>
          <w:spacing w:val="-2"/>
          <w:sz w:val="22"/>
        </w:rPr>
        <w:t> </w:t>
      </w:r>
      <w:r>
        <w:rPr>
          <w:sz w:val="22"/>
        </w:rPr>
        <w:t>Requirements</w:t>
        <w:tab/>
        <w:t>13</w:t>
      </w:r>
    </w:p>
    <w:p>
      <w:pPr>
        <w:tabs>
          <w:tab w:pos="9702" w:val="right" w:leader="dot"/>
        </w:tabs>
        <w:spacing w:before="505"/>
        <w:ind w:left="480" w:right="0" w:firstLine="0"/>
        <w:jc w:val="left"/>
        <w:rPr>
          <w:sz w:val="22"/>
        </w:rPr>
      </w:pPr>
      <w:r>
        <w:rPr>
          <w:b/>
          <w:sz w:val="22"/>
        </w:rPr>
        <w:t>SECTION F </w:t>
      </w:r>
      <w:r>
        <w:rPr>
          <w:sz w:val="22"/>
        </w:rPr>
        <w:t>- </w:t>
      </w:r>
      <w:r>
        <w:rPr>
          <w:spacing w:val="9"/>
          <w:sz w:val="22"/>
        </w:rPr>
        <w:t> </w:t>
      </w:r>
      <w:r>
        <w:rPr>
          <w:sz w:val="22"/>
        </w:rPr>
        <w:t>Selection</w:t>
      </w:r>
      <w:r>
        <w:rPr>
          <w:spacing w:val="1"/>
          <w:sz w:val="22"/>
        </w:rPr>
        <w:t> </w:t>
      </w:r>
      <w:r>
        <w:rPr>
          <w:sz w:val="22"/>
        </w:rPr>
        <w:t>Criteria</w:t>
        <w:tab/>
        <w:t>14</w:t>
      </w:r>
    </w:p>
    <w:p>
      <w:pPr>
        <w:tabs>
          <w:tab w:pos="9727" w:val="right" w:leader="dot"/>
        </w:tabs>
        <w:spacing w:before="508"/>
        <w:ind w:left="480" w:right="0" w:firstLine="0"/>
        <w:jc w:val="left"/>
        <w:rPr>
          <w:sz w:val="22"/>
        </w:rPr>
      </w:pPr>
      <w:r>
        <w:rPr>
          <w:b/>
          <w:sz w:val="22"/>
        </w:rPr>
        <w:t>SECTION G </w:t>
      </w:r>
      <w:r>
        <w:rPr>
          <w:sz w:val="22"/>
        </w:rPr>
        <w:t>- General Terms</w:t>
      </w:r>
      <w:r>
        <w:rPr>
          <w:spacing w:val="-6"/>
          <w:sz w:val="22"/>
        </w:rPr>
        <w:t> </w:t>
      </w:r>
      <w:r>
        <w:rPr>
          <w:sz w:val="22"/>
        </w:rPr>
        <w:t>and Conditions</w:t>
        <w:tab/>
        <w:t>15</w:t>
      </w:r>
    </w:p>
    <w:p>
      <w:pPr>
        <w:tabs>
          <w:tab w:pos="9753" w:val="right" w:leader="dot"/>
        </w:tabs>
        <w:spacing w:before="505"/>
        <w:ind w:left="480" w:right="0" w:firstLine="0"/>
        <w:jc w:val="left"/>
        <w:rPr>
          <w:sz w:val="22"/>
        </w:rPr>
      </w:pPr>
      <w:r>
        <w:rPr>
          <w:b/>
          <w:sz w:val="22"/>
        </w:rPr>
        <w:t>ATTACHMENT “A” </w:t>
      </w:r>
      <w:r>
        <w:rPr>
          <w:sz w:val="22"/>
        </w:rPr>
        <w:t>-</w:t>
      </w:r>
      <w:r>
        <w:rPr>
          <w:spacing w:val="1"/>
          <w:sz w:val="22"/>
        </w:rPr>
        <w:t> </w:t>
      </w:r>
      <w:r>
        <w:rPr>
          <w:sz w:val="22"/>
        </w:rPr>
        <w:t>Proposal Questionnaire</w:t>
        <w:tab/>
        <w:t>19</w:t>
      </w:r>
    </w:p>
    <w:p>
      <w:pPr>
        <w:tabs>
          <w:tab w:pos="9740" w:val="right" w:leader="dot"/>
        </w:tabs>
        <w:spacing w:before="506"/>
        <w:ind w:left="480" w:right="0" w:firstLine="0"/>
        <w:jc w:val="left"/>
        <w:rPr>
          <w:sz w:val="22"/>
        </w:rPr>
      </w:pPr>
      <w:r>
        <w:rPr>
          <w:b/>
          <w:sz w:val="22"/>
        </w:rPr>
        <w:t>ATTACHMENT “B” </w:t>
      </w:r>
      <w:r>
        <w:rPr>
          <w:sz w:val="22"/>
        </w:rPr>
        <w:t>-</w:t>
      </w:r>
      <w:r>
        <w:rPr>
          <w:spacing w:val="-5"/>
          <w:sz w:val="22"/>
        </w:rPr>
        <w:t> </w:t>
      </w:r>
      <w:r>
        <w:rPr>
          <w:sz w:val="22"/>
        </w:rPr>
        <w:t>Cost</w:t>
      </w:r>
      <w:r>
        <w:rPr>
          <w:spacing w:val="2"/>
          <w:sz w:val="22"/>
        </w:rPr>
        <w:t> </w:t>
      </w:r>
      <w:r>
        <w:rPr>
          <w:sz w:val="22"/>
        </w:rPr>
        <w:t>Proposal</w:t>
        <w:tab/>
        <w:t>23</w:t>
      </w:r>
    </w:p>
    <w:p>
      <w:pPr>
        <w:tabs>
          <w:tab w:pos="9785" w:val="right" w:leader="dot"/>
        </w:tabs>
        <w:spacing w:before="505"/>
        <w:ind w:left="480" w:right="0" w:firstLine="0"/>
        <w:jc w:val="left"/>
        <w:rPr>
          <w:sz w:val="22"/>
        </w:rPr>
      </w:pPr>
      <w:r>
        <w:rPr>
          <w:b/>
          <w:sz w:val="22"/>
        </w:rPr>
        <w:t>EXHIBIT “1” </w:t>
      </w:r>
      <w:r>
        <w:rPr>
          <w:sz w:val="22"/>
        </w:rPr>
        <w:t>- Consulting</w:t>
      </w:r>
      <w:r>
        <w:rPr>
          <w:spacing w:val="-2"/>
          <w:sz w:val="22"/>
        </w:rPr>
        <w:t> </w:t>
      </w:r>
      <w:r>
        <w:rPr>
          <w:sz w:val="22"/>
        </w:rPr>
        <w:t>Agreement</w:t>
      </w:r>
      <w:r>
        <w:rPr>
          <w:spacing w:val="1"/>
          <w:sz w:val="22"/>
        </w:rPr>
        <w:t> </w:t>
      </w:r>
      <w:r>
        <w:rPr>
          <w:sz w:val="22"/>
        </w:rPr>
        <w:t>Example</w:t>
        <w:tab/>
        <w:t>26</w:t>
      </w:r>
    </w:p>
    <w:p>
      <w:pPr>
        <w:spacing w:after="0"/>
        <w:jc w:val="left"/>
        <w:rPr>
          <w:sz w:val="22"/>
        </w:rPr>
        <w:sectPr>
          <w:footerReference w:type="default" r:id="rId7"/>
          <w:pgSz w:w="12240" w:h="15840"/>
          <w:pgMar w:footer="1248" w:header="0" w:top="740" w:bottom="1440" w:left="960" w:right="960"/>
          <w:pgNumType w:start="1"/>
        </w:sectPr>
      </w:pPr>
    </w:p>
    <w:p>
      <w:pPr>
        <w:spacing w:before="70"/>
        <w:ind w:left="1046" w:right="1042" w:firstLine="0"/>
        <w:jc w:val="center"/>
        <w:rPr>
          <w:b/>
          <w:sz w:val="28"/>
        </w:rPr>
      </w:pPr>
      <w:r>
        <w:rPr/>
        <w:pict>
          <v:group style="position:absolute;margin-left:26.160002pt;margin-top:26.160002pt;width:561.85pt;height:741.85pt;mso-position-horizontal-relative:page;mso-position-vertical-relative:page;z-index:-253984768" coordorigin="523,523" coordsize="11237,14837">
            <v:line style="position:absolute" from="523,545" to="11674,545" stroked="true" strokeweight="2.159998pt" strokecolor="#000000">
              <v:stroke dashstyle="solid"/>
            </v:line>
            <v:rect style="position:absolute;left:11673;top:523;width:44;height:44" filled="true" fillcolor="#000000" stroked="false">
              <v:fill type="solid"/>
            </v:rect>
            <v:line style="position:absolute" from="545,566" to="545,15317" stroked="true" strokeweight="2.159998pt" strokecolor="#000000">
              <v:stroke dashstyle="solid"/>
            </v:line>
            <v:line style="position:absolute" from="11717,566" to="11717,15274" stroked="true" strokeweight="4.320008pt" strokecolor="#000000">
              <v:stroke dashstyle="solid"/>
            </v:line>
            <v:line style="position:absolute" from="566,15317" to="11674,15317" stroked="true" strokeweight="4.320008pt" strokecolor="#000000">
              <v:stroke dashstyle="solid"/>
            </v:line>
            <v:shape style="position:absolute;left:11673;top:15273;width:87;height:87" coordorigin="11674,15274" coordsize="87,87" path="m11760,15274l11717,15274,11674,15274,11674,15317,11674,15360,11717,15360,11760,15360,11760,15317,11760,15274e" filled="true" fillcolor="#000000" stroked="false">
              <v:path arrowok="t"/>
              <v:fill type="solid"/>
            </v:shape>
            <w10:wrap type="none"/>
          </v:group>
        </w:pict>
      </w:r>
      <w:r>
        <w:rPr>
          <w:b/>
          <w:spacing w:val="-187"/>
          <w:sz w:val="28"/>
          <w:u w:val="thick"/>
        </w:rPr>
        <w:t>S</w:t>
      </w:r>
      <w:r>
        <w:rPr>
          <w:b/>
          <w:spacing w:val="113"/>
          <w:sz w:val="28"/>
        </w:rPr>
        <w:t> </w:t>
      </w:r>
      <w:r>
        <w:rPr>
          <w:b/>
          <w:sz w:val="28"/>
          <w:u w:val="thick"/>
        </w:rPr>
        <w:t>ection</w:t>
      </w:r>
      <w:r>
        <w:rPr>
          <w:b/>
          <w:spacing w:val="3"/>
          <w:sz w:val="28"/>
          <w:u w:val="thick"/>
        </w:rPr>
        <w:t> </w:t>
      </w:r>
      <w:r>
        <w:rPr>
          <w:b/>
          <w:sz w:val="28"/>
          <w:u w:val="thick"/>
        </w:rPr>
        <w:t>A</w:t>
      </w:r>
    </w:p>
    <w:p>
      <w:pPr>
        <w:spacing w:before="1"/>
        <w:ind w:left="1046" w:right="1046" w:firstLine="0"/>
        <w:jc w:val="center"/>
        <w:rPr>
          <w:b/>
          <w:sz w:val="24"/>
        </w:rPr>
      </w:pPr>
      <w:r>
        <w:rPr>
          <w:b/>
          <w:sz w:val="24"/>
        </w:rPr>
        <w:t>SCHEDULE</w:t>
      </w:r>
    </w:p>
    <w:p>
      <w:pPr>
        <w:pStyle w:val="BodyText"/>
        <w:spacing w:before="10"/>
        <w:rPr>
          <w:b/>
          <w:sz w:val="21"/>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86"/>
        <w:gridCol w:w="6088"/>
      </w:tblGrid>
      <w:tr>
        <w:trPr>
          <w:trHeight w:val="314" w:hRule="atLeast"/>
        </w:trPr>
        <w:tc>
          <w:tcPr>
            <w:tcW w:w="3986" w:type="dxa"/>
            <w:shd w:val="clear" w:color="auto" w:fill="BFBFBF"/>
          </w:tcPr>
          <w:p>
            <w:pPr>
              <w:pStyle w:val="TableParagraph"/>
              <w:spacing w:before="31"/>
              <w:ind w:left="1623" w:right="1615"/>
              <w:jc w:val="center"/>
              <w:rPr>
                <w:sz w:val="22"/>
              </w:rPr>
            </w:pPr>
            <w:r>
              <w:rPr>
                <w:sz w:val="22"/>
              </w:rPr>
              <w:t>Activity</w:t>
            </w:r>
          </w:p>
        </w:tc>
        <w:tc>
          <w:tcPr>
            <w:tcW w:w="6088" w:type="dxa"/>
            <w:shd w:val="clear" w:color="auto" w:fill="BFBFBF"/>
          </w:tcPr>
          <w:p>
            <w:pPr>
              <w:pStyle w:val="TableParagraph"/>
              <w:spacing w:before="31"/>
              <w:ind w:left="2787" w:right="2785"/>
              <w:jc w:val="center"/>
              <w:rPr>
                <w:sz w:val="22"/>
              </w:rPr>
            </w:pPr>
            <w:r>
              <w:rPr>
                <w:sz w:val="22"/>
              </w:rPr>
              <w:t>Date</w:t>
            </w:r>
          </w:p>
        </w:tc>
      </w:tr>
      <w:tr>
        <w:trPr>
          <w:trHeight w:val="311" w:hRule="atLeast"/>
        </w:trPr>
        <w:tc>
          <w:tcPr>
            <w:tcW w:w="3986" w:type="dxa"/>
          </w:tcPr>
          <w:p>
            <w:pPr>
              <w:pStyle w:val="TableParagraph"/>
              <w:spacing w:line="232" w:lineRule="exact" w:before="60"/>
              <w:ind w:left="107"/>
              <w:rPr>
                <w:sz w:val="22"/>
              </w:rPr>
            </w:pPr>
            <w:r>
              <w:rPr>
                <w:sz w:val="22"/>
              </w:rPr>
              <w:t>RFP Released</w:t>
            </w:r>
          </w:p>
        </w:tc>
        <w:tc>
          <w:tcPr>
            <w:tcW w:w="6088" w:type="dxa"/>
          </w:tcPr>
          <w:p>
            <w:pPr>
              <w:pStyle w:val="TableParagraph"/>
              <w:spacing w:line="232" w:lineRule="exact" w:before="60"/>
              <w:ind w:left="105"/>
              <w:rPr>
                <w:sz w:val="22"/>
              </w:rPr>
            </w:pPr>
            <w:r>
              <w:rPr>
                <w:sz w:val="22"/>
              </w:rPr>
              <w:t>Friday, January 8, 2021</w:t>
            </w:r>
          </w:p>
        </w:tc>
      </w:tr>
      <w:tr>
        <w:trPr>
          <w:trHeight w:val="314" w:hRule="atLeast"/>
        </w:trPr>
        <w:tc>
          <w:tcPr>
            <w:tcW w:w="3986" w:type="dxa"/>
          </w:tcPr>
          <w:p>
            <w:pPr>
              <w:pStyle w:val="TableParagraph"/>
              <w:spacing w:line="234" w:lineRule="exact" w:before="60"/>
              <w:ind w:left="107"/>
              <w:rPr>
                <w:sz w:val="22"/>
              </w:rPr>
            </w:pPr>
            <w:r>
              <w:rPr>
                <w:sz w:val="22"/>
              </w:rPr>
              <w:t>Question Submittal</w:t>
            </w:r>
          </w:p>
        </w:tc>
        <w:tc>
          <w:tcPr>
            <w:tcW w:w="6088" w:type="dxa"/>
          </w:tcPr>
          <w:p>
            <w:pPr>
              <w:pStyle w:val="TableParagraph"/>
              <w:spacing w:line="234" w:lineRule="exact" w:before="60"/>
              <w:ind w:left="104"/>
              <w:rPr>
                <w:sz w:val="22"/>
              </w:rPr>
            </w:pPr>
            <w:r>
              <w:rPr>
                <w:sz w:val="22"/>
              </w:rPr>
              <w:t>Monday, February 1, 2021 no later than 5:00 pm</w:t>
            </w:r>
          </w:p>
        </w:tc>
      </w:tr>
      <w:tr>
        <w:trPr>
          <w:trHeight w:val="311" w:hRule="atLeast"/>
        </w:trPr>
        <w:tc>
          <w:tcPr>
            <w:tcW w:w="3986" w:type="dxa"/>
          </w:tcPr>
          <w:p>
            <w:pPr>
              <w:pStyle w:val="TableParagraph"/>
              <w:spacing w:line="232" w:lineRule="exact" w:before="60"/>
              <w:ind w:left="107"/>
              <w:rPr>
                <w:sz w:val="22"/>
              </w:rPr>
            </w:pPr>
            <w:r>
              <w:rPr>
                <w:sz w:val="22"/>
              </w:rPr>
              <w:t>Response to Questions Released</w:t>
            </w:r>
          </w:p>
        </w:tc>
        <w:tc>
          <w:tcPr>
            <w:tcW w:w="6088" w:type="dxa"/>
          </w:tcPr>
          <w:p>
            <w:pPr>
              <w:pStyle w:val="TableParagraph"/>
              <w:spacing w:line="232" w:lineRule="exact" w:before="60"/>
              <w:ind w:left="105"/>
              <w:rPr>
                <w:sz w:val="22"/>
              </w:rPr>
            </w:pPr>
            <w:r>
              <w:rPr>
                <w:sz w:val="22"/>
              </w:rPr>
              <w:t>Friday, February 12, 2021</w:t>
            </w:r>
          </w:p>
        </w:tc>
      </w:tr>
      <w:tr>
        <w:trPr>
          <w:trHeight w:val="313" w:hRule="atLeast"/>
        </w:trPr>
        <w:tc>
          <w:tcPr>
            <w:tcW w:w="3986" w:type="dxa"/>
          </w:tcPr>
          <w:p>
            <w:pPr>
              <w:pStyle w:val="TableParagraph"/>
              <w:spacing w:line="232" w:lineRule="exact" w:before="62"/>
              <w:ind w:left="107"/>
              <w:rPr>
                <w:sz w:val="22"/>
              </w:rPr>
            </w:pPr>
            <w:r>
              <w:rPr>
                <w:sz w:val="22"/>
              </w:rPr>
              <w:t>TPA RFP Proposal Due</w:t>
            </w:r>
          </w:p>
        </w:tc>
        <w:tc>
          <w:tcPr>
            <w:tcW w:w="6088" w:type="dxa"/>
          </w:tcPr>
          <w:p>
            <w:pPr>
              <w:pStyle w:val="TableParagraph"/>
              <w:spacing w:line="232" w:lineRule="exact" w:before="62"/>
              <w:ind w:left="105"/>
              <w:rPr>
                <w:sz w:val="22"/>
              </w:rPr>
            </w:pPr>
            <w:r>
              <w:rPr>
                <w:sz w:val="22"/>
              </w:rPr>
              <w:t>Monday, March 1, 2021 no later than 5:00 pm</w:t>
            </w:r>
          </w:p>
        </w:tc>
      </w:tr>
      <w:tr>
        <w:trPr>
          <w:trHeight w:val="506" w:hRule="atLeast"/>
        </w:trPr>
        <w:tc>
          <w:tcPr>
            <w:tcW w:w="3986" w:type="dxa"/>
          </w:tcPr>
          <w:p>
            <w:pPr>
              <w:pStyle w:val="TableParagraph"/>
              <w:spacing w:line="254" w:lineRule="exact" w:before="3"/>
              <w:ind w:left="107" w:right="425"/>
              <w:rPr>
                <w:sz w:val="22"/>
              </w:rPr>
            </w:pPr>
            <w:r>
              <w:rPr>
                <w:sz w:val="22"/>
              </w:rPr>
              <w:t>Review of Proposals &amp; Selection of TPA to Interview</w:t>
            </w:r>
          </w:p>
        </w:tc>
        <w:tc>
          <w:tcPr>
            <w:tcW w:w="6088" w:type="dxa"/>
          </w:tcPr>
          <w:p>
            <w:pPr>
              <w:pStyle w:val="TableParagraph"/>
              <w:spacing w:before="1"/>
              <w:rPr>
                <w:b/>
                <w:sz w:val="22"/>
              </w:rPr>
            </w:pPr>
          </w:p>
          <w:p>
            <w:pPr>
              <w:pStyle w:val="TableParagraph"/>
              <w:spacing w:line="232" w:lineRule="exact"/>
              <w:ind w:left="105"/>
              <w:rPr>
                <w:sz w:val="22"/>
              </w:rPr>
            </w:pPr>
            <w:r>
              <w:rPr>
                <w:sz w:val="22"/>
              </w:rPr>
              <w:t>Friday, March 19, 2021</w:t>
            </w:r>
          </w:p>
        </w:tc>
      </w:tr>
      <w:tr>
        <w:trPr>
          <w:trHeight w:val="308" w:hRule="atLeast"/>
        </w:trPr>
        <w:tc>
          <w:tcPr>
            <w:tcW w:w="3986" w:type="dxa"/>
          </w:tcPr>
          <w:p>
            <w:pPr>
              <w:pStyle w:val="TableParagraph"/>
              <w:spacing w:line="234" w:lineRule="exact" w:before="55"/>
              <w:ind w:left="107"/>
              <w:rPr>
                <w:sz w:val="22"/>
              </w:rPr>
            </w:pPr>
            <w:r>
              <w:rPr>
                <w:sz w:val="22"/>
              </w:rPr>
              <w:t>Notification of TPA Interviews*</w:t>
            </w:r>
          </w:p>
        </w:tc>
        <w:tc>
          <w:tcPr>
            <w:tcW w:w="6088" w:type="dxa"/>
          </w:tcPr>
          <w:p>
            <w:pPr>
              <w:pStyle w:val="TableParagraph"/>
              <w:spacing w:line="234" w:lineRule="exact" w:before="55"/>
              <w:ind w:left="103"/>
              <w:rPr>
                <w:sz w:val="22"/>
              </w:rPr>
            </w:pPr>
            <w:r>
              <w:rPr>
                <w:sz w:val="22"/>
              </w:rPr>
              <w:t>Friday, March 26, 2021</w:t>
            </w:r>
          </w:p>
        </w:tc>
      </w:tr>
      <w:tr>
        <w:trPr>
          <w:trHeight w:val="505" w:hRule="atLeast"/>
        </w:trPr>
        <w:tc>
          <w:tcPr>
            <w:tcW w:w="3986" w:type="dxa"/>
          </w:tcPr>
          <w:p>
            <w:pPr>
              <w:pStyle w:val="TableParagraph"/>
              <w:spacing w:line="252" w:lineRule="exact" w:before="4"/>
              <w:ind w:left="107" w:right="254"/>
              <w:rPr>
                <w:sz w:val="22"/>
              </w:rPr>
            </w:pPr>
            <w:r>
              <w:rPr>
                <w:sz w:val="22"/>
              </w:rPr>
              <w:t>Interview Panel Meet and Confirm Interview Details, Format, Roles, etc.</w:t>
            </w:r>
          </w:p>
        </w:tc>
        <w:tc>
          <w:tcPr>
            <w:tcW w:w="6088" w:type="dxa"/>
          </w:tcPr>
          <w:p>
            <w:pPr>
              <w:pStyle w:val="TableParagraph"/>
              <w:spacing w:before="10"/>
              <w:rPr>
                <w:b/>
                <w:sz w:val="21"/>
              </w:rPr>
            </w:pPr>
          </w:p>
          <w:p>
            <w:pPr>
              <w:pStyle w:val="TableParagraph"/>
              <w:spacing w:line="234" w:lineRule="exact"/>
              <w:ind w:left="102"/>
              <w:rPr>
                <w:sz w:val="22"/>
              </w:rPr>
            </w:pPr>
            <w:r>
              <w:rPr>
                <w:sz w:val="22"/>
              </w:rPr>
              <w:t>By Friday April 9, 2021</w:t>
            </w:r>
          </w:p>
        </w:tc>
      </w:tr>
      <w:tr>
        <w:trPr>
          <w:trHeight w:val="309" w:hRule="atLeast"/>
        </w:trPr>
        <w:tc>
          <w:tcPr>
            <w:tcW w:w="3986" w:type="dxa"/>
          </w:tcPr>
          <w:p>
            <w:pPr>
              <w:pStyle w:val="TableParagraph"/>
              <w:spacing w:line="232" w:lineRule="exact" w:before="58"/>
              <w:ind w:left="107"/>
              <w:rPr>
                <w:sz w:val="22"/>
              </w:rPr>
            </w:pPr>
            <w:r>
              <w:rPr>
                <w:sz w:val="22"/>
              </w:rPr>
              <w:t>TPA Presentations/Interviews</w:t>
            </w:r>
          </w:p>
        </w:tc>
        <w:tc>
          <w:tcPr>
            <w:tcW w:w="6088" w:type="dxa"/>
          </w:tcPr>
          <w:p>
            <w:pPr>
              <w:pStyle w:val="TableParagraph"/>
              <w:spacing w:line="232" w:lineRule="exact" w:before="58"/>
              <w:ind w:left="105"/>
              <w:rPr>
                <w:sz w:val="22"/>
              </w:rPr>
            </w:pPr>
            <w:r>
              <w:rPr>
                <w:sz w:val="22"/>
              </w:rPr>
              <w:t>Thursday April 15 and April 16, 2021</w:t>
            </w:r>
          </w:p>
        </w:tc>
      </w:tr>
    </w:tbl>
    <w:p>
      <w:pPr>
        <w:pStyle w:val="BodyText"/>
        <w:rPr>
          <w:b/>
          <w:sz w:val="28"/>
        </w:rPr>
      </w:pPr>
    </w:p>
    <w:p>
      <w:pPr>
        <w:pStyle w:val="Heading3"/>
        <w:spacing w:before="0"/>
        <w:ind w:left="1046" w:right="1046"/>
        <w:jc w:val="center"/>
      </w:pPr>
      <w:r>
        <w:rPr/>
        <w:t>RFP Coordinator</w:t>
      </w:r>
    </w:p>
    <w:p>
      <w:pPr>
        <w:spacing w:before="0"/>
        <w:ind w:left="2856" w:right="2861" w:firstLine="0"/>
        <w:jc w:val="center"/>
        <w:rPr>
          <w:sz w:val="24"/>
        </w:rPr>
      </w:pPr>
      <w:r>
        <w:rPr>
          <w:sz w:val="24"/>
        </w:rPr>
        <w:t>Sheri Hansen, Human Resources Analyst I Phone: 760-839-4317</w:t>
      </w:r>
    </w:p>
    <w:p>
      <w:pPr>
        <w:spacing w:before="0"/>
        <w:ind w:left="1046" w:right="1046" w:firstLine="0"/>
        <w:jc w:val="center"/>
        <w:rPr>
          <w:sz w:val="24"/>
        </w:rPr>
      </w:pPr>
      <w:r>
        <w:rPr>
          <w:spacing w:val="-120"/>
          <w:sz w:val="24"/>
          <w:u w:val="single"/>
        </w:rPr>
        <w:t>s</w:t>
      </w:r>
      <w:r>
        <w:rPr>
          <w:spacing w:val="56"/>
          <w:sz w:val="24"/>
        </w:rPr>
        <w:t> </w:t>
      </w:r>
      <w:hyperlink r:id="rId8">
        <w:r>
          <w:rPr>
            <w:sz w:val="24"/>
            <w:u w:val="single"/>
          </w:rPr>
          <w:t>hansen@escondido.org</w:t>
        </w:r>
      </w:hyperlink>
    </w:p>
    <w:p>
      <w:pPr>
        <w:pStyle w:val="BodyText"/>
        <w:spacing w:before="1"/>
        <w:rPr>
          <w:sz w:val="20"/>
        </w:rPr>
      </w:pPr>
    </w:p>
    <w:p>
      <w:pPr>
        <w:spacing w:before="91"/>
        <w:ind w:left="1046" w:right="1046" w:firstLine="0"/>
        <w:jc w:val="center"/>
        <w:rPr>
          <w:b/>
          <w:sz w:val="28"/>
        </w:rPr>
      </w:pPr>
      <w:r>
        <w:rPr>
          <w:b/>
          <w:spacing w:val="-187"/>
          <w:sz w:val="28"/>
          <w:u w:val="thick"/>
        </w:rPr>
        <w:t>S</w:t>
      </w:r>
      <w:r>
        <w:rPr>
          <w:b/>
          <w:spacing w:val="112"/>
          <w:sz w:val="28"/>
        </w:rPr>
        <w:t> </w:t>
      </w:r>
      <w:r>
        <w:rPr>
          <w:b/>
          <w:sz w:val="28"/>
          <w:u w:val="thick"/>
        </w:rPr>
        <w:t>ection B</w:t>
      </w:r>
    </w:p>
    <w:p>
      <w:pPr>
        <w:spacing w:before="2"/>
        <w:ind w:left="1046" w:right="1051" w:firstLine="0"/>
        <w:jc w:val="center"/>
        <w:rPr>
          <w:b/>
          <w:sz w:val="24"/>
        </w:rPr>
      </w:pPr>
      <w:r>
        <w:rPr>
          <w:b/>
          <w:sz w:val="24"/>
        </w:rPr>
        <w:t>PROJECT OBJECTIVE</w:t>
      </w:r>
    </w:p>
    <w:p>
      <w:pPr>
        <w:pStyle w:val="BodyText"/>
        <w:spacing w:before="10"/>
        <w:rPr>
          <w:b/>
          <w:sz w:val="23"/>
        </w:rPr>
      </w:pPr>
    </w:p>
    <w:p>
      <w:pPr>
        <w:pStyle w:val="BodyText"/>
        <w:spacing w:before="1"/>
        <w:ind w:left="480" w:right="479"/>
        <w:jc w:val="both"/>
      </w:pPr>
      <w:r>
        <w:rPr/>
        <w:t>The City of Escondido (“City”) is seeking proposals from qualified third-party administers (“TPA”) to provide Third-Party Workers’ Compensation Claims Administration and Managed Care Services for the City’s Self-Insured Workers’ Compensation Program (the “Services”).</w:t>
      </w:r>
    </w:p>
    <w:p>
      <w:pPr>
        <w:pStyle w:val="BodyText"/>
        <w:spacing w:before="9"/>
        <w:rPr>
          <w:sz w:val="21"/>
        </w:rPr>
      </w:pPr>
    </w:p>
    <w:p>
      <w:pPr>
        <w:pStyle w:val="BodyText"/>
        <w:spacing w:before="1"/>
        <w:ind w:left="480" w:right="484"/>
        <w:jc w:val="both"/>
      </w:pPr>
      <w:r>
        <w:rPr/>
        <w:t>The</w:t>
      </w:r>
      <w:r>
        <w:rPr>
          <w:spacing w:val="-12"/>
        </w:rPr>
        <w:t> </w:t>
      </w:r>
      <w:r>
        <w:rPr/>
        <w:t>City</w:t>
      </w:r>
      <w:r>
        <w:rPr>
          <w:spacing w:val="-10"/>
        </w:rPr>
        <w:t> </w:t>
      </w:r>
      <w:r>
        <w:rPr/>
        <w:t>requires</w:t>
      </w:r>
      <w:r>
        <w:rPr>
          <w:spacing w:val="-11"/>
        </w:rPr>
        <w:t> </w:t>
      </w:r>
      <w:r>
        <w:rPr/>
        <w:t>a</w:t>
      </w:r>
      <w:r>
        <w:rPr>
          <w:spacing w:val="-11"/>
        </w:rPr>
        <w:t> </w:t>
      </w:r>
      <w:r>
        <w:rPr/>
        <w:t>TPA</w:t>
      </w:r>
      <w:r>
        <w:rPr>
          <w:spacing w:val="-11"/>
        </w:rPr>
        <w:t> </w:t>
      </w:r>
      <w:r>
        <w:rPr/>
        <w:t>that</w:t>
      </w:r>
      <w:r>
        <w:rPr>
          <w:spacing w:val="-5"/>
        </w:rPr>
        <w:t> </w:t>
      </w:r>
      <w:r>
        <w:rPr/>
        <w:t>will</w:t>
      </w:r>
      <w:r>
        <w:rPr>
          <w:spacing w:val="-11"/>
        </w:rPr>
        <w:t> </w:t>
      </w:r>
      <w:r>
        <w:rPr/>
        <w:t>deliver</w:t>
      </w:r>
      <w:r>
        <w:rPr>
          <w:spacing w:val="-6"/>
        </w:rPr>
        <w:t> </w:t>
      </w:r>
      <w:r>
        <w:rPr/>
        <w:t>objective</w:t>
      </w:r>
      <w:r>
        <w:rPr>
          <w:spacing w:val="-11"/>
        </w:rPr>
        <w:t> </w:t>
      </w:r>
      <w:r>
        <w:rPr/>
        <w:t>and</w:t>
      </w:r>
      <w:r>
        <w:rPr>
          <w:spacing w:val="-11"/>
        </w:rPr>
        <w:t> </w:t>
      </w:r>
      <w:r>
        <w:rPr/>
        <w:t>measurable</w:t>
      </w:r>
      <w:r>
        <w:rPr>
          <w:spacing w:val="-12"/>
        </w:rPr>
        <w:t> </w:t>
      </w:r>
      <w:r>
        <w:rPr/>
        <w:t>results</w:t>
      </w:r>
      <w:r>
        <w:rPr>
          <w:spacing w:val="-10"/>
        </w:rPr>
        <w:t> </w:t>
      </w:r>
      <w:r>
        <w:rPr/>
        <w:t>that</w:t>
      </w:r>
      <w:r>
        <w:rPr>
          <w:spacing w:val="-9"/>
        </w:rPr>
        <w:t> </w:t>
      </w:r>
      <w:r>
        <w:rPr/>
        <w:t>will</w:t>
      </w:r>
      <w:r>
        <w:rPr>
          <w:spacing w:val="-10"/>
        </w:rPr>
        <w:t> </w:t>
      </w:r>
      <w:r>
        <w:rPr/>
        <w:t>reduce</w:t>
      </w:r>
      <w:r>
        <w:rPr>
          <w:spacing w:val="-10"/>
        </w:rPr>
        <w:t> </w:t>
      </w:r>
      <w:r>
        <w:rPr/>
        <w:t>the</w:t>
      </w:r>
      <w:r>
        <w:rPr>
          <w:spacing w:val="-11"/>
        </w:rPr>
        <w:t> </w:t>
      </w:r>
      <w:r>
        <w:rPr/>
        <w:t>cost and duration of Workers’ Compensation claims, provide claims processing in a timely and professional manner, assist in returning injured employees back to work and maintain strong communications with the injured worker and the</w:t>
      </w:r>
      <w:r>
        <w:rPr>
          <w:spacing w:val="-9"/>
        </w:rPr>
        <w:t> </w:t>
      </w:r>
      <w:r>
        <w:rPr/>
        <w:t>City.</w:t>
      </w:r>
    </w:p>
    <w:p>
      <w:pPr>
        <w:pStyle w:val="BodyText"/>
        <w:spacing w:before="4"/>
        <w:rPr>
          <w:sz w:val="32"/>
        </w:rPr>
      </w:pPr>
    </w:p>
    <w:p>
      <w:pPr>
        <w:pStyle w:val="BodyText"/>
        <w:spacing w:line="276" w:lineRule="auto" w:before="1"/>
        <w:ind w:left="480" w:right="481"/>
        <w:jc w:val="both"/>
      </w:pPr>
      <w:r>
        <w:rPr/>
        <w:t>The</w:t>
      </w:r>
      <w:r>
        <w:rPr>
          <w:spacing w:val="-12"/>
        </w:rPr>
        <w:t> </w:t>
      </w:r>
      <w:r>
        <w:rPr/>
        <w:t>City</w:t>
      </w:r>
      <w:r>
        <w:rPr>
          <w:spacing w:val="-10"/>
        </w:rPr>
        <w:t> </w:t>
      </w:r>
      <w:r>
        <w:rPr/>
        <w:t>intends</w:t>
      </w:r>
      <w:r>
        <w:rPr>
          <w:spacing w:val="-11"/>
        </w:rPr>
        <w:t> </w:t>
      </w:r>
      <w:r>
        <w:rPr/>
        <w:t>to</w:t>
      </w:r>
      <w:r>
        <w:rPr>
          <w:spacing w:val="-10"/>
        </w:rPr>
        <w:t> </w:t>
      </w:r>
      <w:r>
        <w:rPr/>
        <w:t>award</w:t>
      </w:r>
      <w:r>
        <w:rPr>
          <w:spacing w:val="-8"/>
        </w:rPr>
        <w:t> </w:t>
      </w:r>
      <w:r>
        <w:rPr/>
        <w:t>a</w:t>
      </w:r>
      <w:r>
        <w:rPr>
          <w:spacing w:val="-10"/>
        </w:rPr>
        <w:t> </w:t>
      </w:r>
      <w:r>
        <w:rPr/>
        <w:t>contract</w:t>
      </w:r>
      <w:r>
        <w:rPr>
          <w:spacing w:val="-10"/>
        </w:rPr>
        <w:t> </w:t>
      </w:r>
      <w:r>
        <w:rPr/>
        <w:t>for</w:t>
      </w:r>
      <w:r>
        <w:rPr>
          <w:spacing w:val="-11"/>
        </w:rPr>
        <w:t> </w:t>
      </w:r>
      <w:r>
        <w:rPr/>
        <w:t>a</w:t>
      </w:r>
      <w:r>
        <w:rPr>
          <w:spacing w:val="-9"/>
        </w:rPr>
        <w:t> </w:t>
      </w:r>
      <w:r>
        <w:rPr/>
        <w:t>period</w:t>
      </w:r>
      <w:r>
        <w:rPr>
          <w:spacing w:val="-14"/>
        </w:rPr>
        <w:t> </w:t>
      </w:r>
      <w:r>
        <w:rPr/>
        <w:t>of</w:t>
      </w:r>
      <w:r>
        <w:rPr>
          <w:spacing w:val="-8"/>
        </w:rPr>
        <w:t> </w:t>
      </w:r>
      <w:r>
        <w:rPr/>
        <w:t>one</w:t>
      </w:r>
      <w:r>
        <w:rPr>
          <w:spacing w:val="-10"/>
        </w:rPr>
        <w:t> </w:t>
      </w:r>
      <w:r>
        <w:rPr/>
        <w:t>year,</w:t>
      </w:r>
      <w:r>
        <w:rPr>
          <w:spacing w:val="-9"/>
        </w:rPr>
        <w:t> </w:t>
      </w:r>
      <w:r>
        <w:rPr/>
        <w:t>with</w:t>
      </w:r>
      <w:r>
        <w:rPr>
          <w:spacing w:val="-10"/>
        </w:rPr>
        <w:t> </w:t>
      </w:r>
      <w:r>
        <w:rPr/>
        <w:t>an</w:t>
      </w:r>
      <w:r>
        <w:rPr>
          <w:spacing w:val="-9"/>
        </w:rPr>
        <w:t> </w:t>
      </w:r>
      <w:r>
        <w:rPr/>
        <w:t>option</w:t>
      </w:r>
      <w:r>
        <w:rPr>
          <w:spacing w:val="-12"/>
        </w:rPr>
        <w:t> </w:t>
      </w:r>
      <w:r>
        <w:rPr/>
        <w:t>to</w:t>
      </w:r>
      <w:r>
        <w:rPr>
          <w:spacing w:val="-9"/>
        </w:rPr>
        <w:t> </w:t>
      </w:r>
      <w:r>
        <w:rPr/>
        <w:t>extend</w:t>
      </w:r>
      <w:r>
        <w:rPr>
          <w:spacing w:val="-8"/>
        </w:rPr>
        <w:t> </w:t>
      </w:r>
      <w:r>
        <w:rPr/>
        <w:t>year</w:t>
      </w:r>
      <w:r>
        <w:rPr>
          <w:spacing w:val="-13"/>
        </w:rPr>
        <w:t> </w:t>
      </w:r>
      <w:r>
        <w:rPr/>
        <w:t>to</w:t>
      </w:r>
      <w:r>
        <w:rPr>
          <w:spacing w:val="-9"/>
        </w:rPr>
        <w:t> </w:t>
      </w:r>
      <w:r>
        <w:rPr/>
        <w:t>year for four additional years (for a total of five years). The contract will be awarded to the TPA that best</w:t>
      </w:r>
      <w:r>
        <w:rPr>
          <w:spacing w:val="-17"/>
        </w:rPr>
        <w:t> </w:t>
      </w:r>
      <w:r>
        <w:rPr/>
        <w:t>meets</w:t>
      </w:r>
      <w:r>
        <w:rPr>
          <w:spacing w:val="-14"/>
        </w:rPr>
        <w:t> </w:t>
      </w:r>
      <w:r>
        <w:rPr/>
        <w:t>the</w:t>
      </w:r>
      <w:r>
        <w:rPr>
          <w:spacing w:val="-16"/>
        </w:rPr>
        <w:t> </w:t>
      </w:r>
      <w:r>
        <w:rPr/>
        <w:t>City’s</w:t>
      </w:r>
      <w:r>
        <w:rPr>
          <w:spacing w:val="-16"/>
        </w:rPr>
        <w:t> </w:t>
      </w:r>
      <w:r>
        <w:rPr/>
        <w:t>evaluation</w:t>
      </w:r>
      <w:r>
        <w:rPr>
          <w:spacing w:val="-16"/>
        </w:rPr>
        <w:t> </w:t>
      </w:r>
      <w:r>
        <w:rPr/>
        <w:t>criteria.</w:t>
      </w:r>
      <w:r>
        <w:rPr>
          <w:spacing w:val="-18"/>
        </w:rPr>
        <w:t> </w:t>
      </w:r>
      <w:r>
        <w:rPr/>
        <w:t>The</w:t>
      </w:r>
      <w:r>
        <w:rPr>
          <w:spacing w:val="-20"/>
        </w:rPr>
        <w:t> </w:t>
      </w:r>
      <w:r>
        <w:rPr/>
        <w:t>TPA</w:t>
      </w:r>
      <w:r>
        <w:rPr>
          <w:spacing w:val="-18"/>
        </w:rPr>
        <w:t> </w:t>
      </w:r>
      <w:r>
        <w:rPr/>
        <w:t>to</w:t>
      </w:r>
      <w:r>
        <w:rPr>
          <w:spacing w:val="-14"/>
        </w:rPr>
        <w:t> </w:t>
      </w:r>
      <w:r>
        <w:rPr/>
        <w:t>whom</w:t>
      </w:r>
      <w:r>
        <w:rPr>
          <w:spacing w:val="-14"/>
        </w:rPr>
        <w:t> </w:t>
      </w:r>
      <w:r>
        <w:rPr/>
        <w:t>the</w:t>
      </w:r>
      <w:r>
        <w:rPr>
          <w:spacing w:val="-14"/>
        </w:rPr>
        <w:t> </w:t>
      </w:r>
      <w:r>
        <w:rPr/>
        <w:t>contract</w:t>
      </w:r>
      <w:r>
        <w:rPr>
          <w:spacing w:val="-17"/>
        </w:rPr>
        <w:t> </w:t>
      </w:r>
      <w:r>
        <w:rPr/>
        <w:t>is</w:t>
      </w:r>
      <w:r>
        <w:rPr>
          <w:spacing w:val="-16"/>
        </w:rPr>
        <w:t> </w:t>
      </w:r>
      <w:r>
        <w:rPr/>
        <w:t>awarded</w:t>
      </w:r>
      <w:r>
        <w:rPr>
          <w:spacing w:val="-15"/>
        </w:rPr>
        <w:t> </w:t>
      </w:r>
      <w:r>
        <w:rPr/>
        <w:t>will</w:t>
      </w:r>
      <w:r>
        <w:rPr>
          <w:spacing w:val="-16"/>
        </w:rPr>
        <w:t> </w:t>
      </w:r>
      <w:r>
        <w:rPr/>
        <w:t>be</w:t>
      </w:r>
      <w:r>
        <w:rPr>
          <w:spacing w:val="-15"/>
        </w:rPr>
        <w:t> </w:t>
      </w:r>
      <w:r>
        <w:rPr/>
        <w:t>required to use the City’s standard Consulting Agreement; a sample of which is attached as “</w:t>
      </w:r>
      <w:r>
        <w:rPr>
          <w:b/>
        </w:rPr>
        <w:t>Exhibit</w:t>
      </w:r>
      <w:r>
        <w:rPr>
          <w:b/>
          <w:spacing w:val="-20"/>
        </w:rPr>
        <w:t> </w:t>
      </w:r>
      <w:r>
        <w:rPr>
          <w:b/>
        </w:rPr>
        <w:t>1</w:t>
      </w:r>
      <w:r>
        <w:rPr/>
        <w:t>.”</w:t>
      </w:r>
    </w:p>
    <w:p>
      <w:pPr>
        <w:pStyle w:val="BodyText"/>
        <w:spacing w:before="120"/>
        <w:ind w:left="480" w:right="480"/>
        <w:jc w:val="both"/>
      </w:pPr>
      <w:r>
        <w:rPr/>
        <w:t>By submitting a proposal in response to the RFP, the TPA is certifying it takes no exceptions to the RFP and will accept the City’s terms and conditions. If any exceptions are taken, such exceptions</w:t>
      </w:r>
      <w:r>
        <w:rPr>
          <w:spacing w:val="-9"/>
        </w:rPr>
        <w:t> </w:t>
      </w:r>
      <w:r>
        <w:rPr/>
        <w:t>must</w:t>
      </w:r>
      <w:r>
        <w:rPr>
          <w:spacing w:val="-7"/>
        </w:rPr>
        <w:t> </w:t>
      </w:r>
      <w:r>
        <w:rPr/>
        <w:t>be</w:t>
      </w:r>
      <w:r>
        <w:rPr>
          <w:spacing w:val="-9"/>
        </w:rPr>
        <w:t> </w:t>
      </w:r>
      <w:r>
        <w:rPr/>
        <w:t>clearly</w:t>
      </w:r>
      <w:r>
        <w:rPr>
          <w:spacing w:val="-11"/>
        </w:rPr>
        <w:t> </w:t>
      </w:r>
      <w:r>
        <w:rPr/>
        <w:t>noted</w:t>
      </w:r>
      <w:r>
        <w:rPr>
          <w:spacing w:val="-8"/>
        </w:rPr>
        <w:t> </w:t>
      </w:r>
      <w:r>
        <w:rPr/>
        <w:t>in</w:t>
      </w:r>
      <w:r>
        <w:rPr>
          <w:spacing w:val="-11"/>
        </w:rPr>
        <w:t> </w:t>
      </w:r>
      <w:r>
        <w:rPr/>
        <w:t>the</w:t>
      </w:r>
      <w:r>
        <w:rPr>
          <w:spacing w:val="-10"/>
        </w:rPr>
        <w:t> </w:t>
      </w:r>
      <w:r>
        <w:rPr/>
        <w:t>Proposal</w:t>
      </w:r>
      <w:r>
        <w:rPr>
          <w:spacing w:val="-10"/>
        </w:rPr>
        <w:t> </w:t>
      </w:r>
      <w:r>
        <w:rPr/>
        <w:t>and</w:t>
      </w:r>
      <w:r>
        <w:rPr>
          <w:spacing w:val="-10"/>
        </w:rPr>
        <w:t> </w:t>
      </w:r>
      <w:r>
        <w:rPr/>
        <w:t>may</w:t>
      </w:r>
      <w:r>
        <w:rPr>
          <w:spacing w:val="-10"/>
        </w:rPr>
        <w:t> </w:t>
      </w:r>
      <w:r>
        <w:rPr/>
        <w:t>be</w:t>
      </w:r>
      <w:r>
        <w:rPr>
          <w:spacing w:val="-10"/>
        </w:rPr>
        <w:t> </w:t>
      </w:r>
      <w:r>
        <w:rPr/>
        <w:t>reason</w:t>
      </w:r>
      <w:r>
        <w:rPr>
          <w:spacing w:val="-13"/>
        </w:rPr>
        <w:t> </w:t>
      </w:r>
      <w:r>
        <w:rPr/>
        <w:t>for</w:t>
      </w:r>
      <w:r>
        <w:rPr>
          <w:spacing w:val="-12"/>
        </w:rPr>
        <w:t> </w:t>
      </w:r>
      <w:r>
        <w:rPr/>
        <w:t>rejection</w:t>
      </w:r>
      <w:r>
        <w:rPr>
          <w:spacing w:val="-9"/>
        </w:rPr>
        <w:t> </w:t>
      </w:r>
      <w:r>
        <w:rPr/>
        <w:t>of</w:t>
      </w:r>
      <w:r>
        <w:rPr>
          <w:spacing w:val="-11"/>
        </w:rPr>
        <w:t> </w:t>
      </w:r>
      <w:r>
        <w:rPr/>
        <w:t>the</w:t>
      </w:r>
      <w:r>
        <w:rPr>
          <w:spacing w:val="-9"/>
        </w:rPr>
        <w:t> </w:t>
      </w:r>
      <w:r>
        <w:rPr/>
        <w:t>Proposal.</w:t>
      </w:r>
    </w:p>
    <w:p>
      <w:pPr>
        <w:pStyle w:val="Heading1"/>
        <w:spacing w:before="140"/>
        <w:rPr>
          <w:u w:val="none"/>
        </w:rPr>
      </w:pPr>
      <w:r>
        <w:rPr>
          <w:spacing w:val="-187"/>
          <w:u w:val="thick"/>
        </w:rPr>
        <w:t>S</w:t>
      </w:r>
      <w:r>
        <w:rPr>
          <w:spacing w:val="112"/>
          <w:u w:val="none"/>
        </w:rPr>
        <w:t> </w:t>
      </w:r>
      <w:r>
        <w:rPr>
          <w:u w:val="thick"/>
        </w:rPr>
        <w:t>ection C</w:t>
      </w:r>
    </w:p>
    <w:p>
      <w:pPr>
        <w:pStyle w:val="Heading2"/>
      </w:pPr>
      <w:r>
        <w:rPr/>
        <w:t>INTRODUCTION AND BACKGROUND</w:t>
      </w:r>
    </w:p>
    <w:p>
      <w:pPr>
        <w:pStyle w:val="BodyText"/>
        <w:spacing w:before="11"/>
        <w:rPr>
          <w:b/>
          <w:sz w:val="27"/>
        </w:rPr>
      </w:pPr>
    </w:p>
    <w:p>
      <w:pPr>
        <w:pStyle w:val="BodyText"/>
        <w:ind w:left="480" w:right="485"/>
        <w:jc w:val="both"/>
      </w:pPr>
      <w:r>
        <w:rPr/>
        <w:t>Incorporated in 1888, Escondido is a general-law City with a five-member City Council. The</w:t>
      </w:r>
      <w:r>
        <w:rPr>
          <w:spacing w:val="-37"/>
        </w:rPr>
        <w:t> </w:t>
      </w:r>
      <w:r>
        <w:rPr/>
        <w:t>City encompasses a 35-mile radius, with a current population of 152,245. Escondido is a full-service city.</w:t>
      </w:r>
      <w:r>
        <w:rPr>
          <w:spacing w:val="39"/>
        </w:rPr>
        <w:t> </w:t>
      </w:r>
      <w:r>
        <w:rPr/>
        <w:t>In</w:t>
      </w:r>
      <w:r>
        <w:rPr>
          <w:spacing w:val="-14"/>
        </w:rPr>
        <w:t> </w:t>
      </w:r>
      <w:r>
        <w:rPr/>
        <w:t>addition</w:t>
      </w:r>
      <w:r>
        <w:rPr>
          <w:spacing w:val="-14"/>
        </w:rPr>
        <w:t> </w:t>
      </w:r>
      <w:r>
        <w:rPr/>
        <w:t>to</w:t>
      </w:r>
      <w:r>
        <w:rPr>
          <w:spacing w:val="-13"/>
        </w:rPr>
        <w:t> </w:t>
      </w:r>
      <w:r>
        <w:rPr/>
        <w:t>the</w:t>
      </w:r>
      <w:r>
        <w:rPr>
          <w:spacing w:val="-11"/>
        </w:rPr>
        <w:t> </w:t>
      </w:r>
      <w:r>
        <w:rPr/>
        <w:t>traditional</w:t>
      </w:r>
      <w:r>
        <w:rPr>
          <w:spacing w:val="-13"/>
        </w:rPr>
        <w:t> </w:t>
      </w:r>
      <w:r>
        <w:rPr/>
        <w:t>municipal</w:t>
      </w:r>
      <w:r>
        <w:rPr>
          <w:spacing w:val="-12"/>
        </w:rPr>
        <w:t> </w:t>
      </w:r>
      <w:r>
        <w:rPr/>
        <w:t>services</w:t>
      </w:r>
      <w:r>
        <w:rPr>
          <w:spacing w:val="-11"/>
        </w:rPr>
        <w:t> </w:t>
      </w:r>
      <w:r>
        <w:rPr/>
        <w:t>of</w:t>
      </w:r>
      <w:r>
        <w:rPr>
          <w:spacing w:val="-12"/>
        </w:rPr>
        <w:t> </w:t>
      </w:r>
      <w:r>
        <w:rPr/>
        <w:t>police,</w:t>
      </w:r>
      <w:r>
        <w:rPr>
          <w:spacing w:val="-12"/>
        </w:rPr>
        <w:t> </w:t>
      </w:r>
      <w:r>
        <w:rPr/>
        <w:t>fire,</w:t>
      </w:r>
      <w:r>
        <w:rPr>
          <w:spacing w:val="-13"/>
        </w:rPr>
        <w:t> </w:t>
      </w:r>
      <w:r>
        <w:rPr/>
        <w:t>engineering,</w:t>
      </w:r>
      <w:r>
        <w:rPr>
          <w:spacing w:val="-10"/>
        </w:rPr>
        <w:t> </w:t>
      </w:r>
      <w:r>
        <w:rPr/>
        <w:t>planning,</w:t>
      </w:r>
      <w:r>
        <w:rPr>
          <w:spacing w:val="-8"/>
        </w:rPr>
        <w:t> </w:t>
      </w:r>
      <w:r>
        <w:rPr/>
        <w:t>building,</w:t>
      </w:r>
    </w:p>
    <w:p>
      <w:pPr>
        <w:spacing w:after="0"/>
        <w:jc w:val="both"/>
        <w:sectPr>
          <w:pgSz w:w="12240" w:h="15840"/>
          <w:pgMar w:header="0" w:footer="1248" w:top="740" w:bottom="1440" w:left="960" w:right="960"/>
        </w:sectPr>
      </w:pPr>
    </w:p>
    <w:p>
      <w:pPr>
        <w:pStyle w:val="BodyText"/>
        <w:spacing w:before="71"/>
        <w:ind w:left="480" w:right="482"/>
        <w:jc w:val="both"/>
      </w:pPr>
      <w:r>
        <w:rPr/>
        <w:pict>
          <v:group style="position:absolute;margin-left:26.160002pt;margin-top:26.160002pt;width:561.85pt;height:741.85pt;mso-position-horizontal-relative:page;mso-position-vertical-relative:page;z-index:-253983744" coordorigin="523,523" coordsize="11237,14837">
            <v:line style="position:absolute" from="523,545" to="11674,545" stroked="true" strokeweight="2.159998pt" strokecolor="#000000">
              <v:stroke dashstyle="solid"/>
            </v:line>
            <v:rect style="position:absolute;left:11673;top:523;width:44;height:44" filled="true" fillcolor="#000000" stroked="false">
              <v:fill type="solid"/>
            </v:rect>
            <v:line style="position:absolute" from="545,566" to="545,15317" stroked="true" strokeweight="2.159998pt" strokecolor="#000000">
              <v:stroke dashstyle="solid"/>
            </v:line>
            <v:line style="position:absolute" from="11717,566" to="11717,15274" stroked="true" strokeweight="4.320008pt" strokecolor="#000000">
              <v:stroke dashstyle="solid"/>
            </v:line>
            <v:line style="position:absolute" from="566,15317" to="11674,15317" stroked="true" strokeweight="4.320008pt" strokecolor="#000000">
              <v:stroke dashstyle="solid"/>
            </v:line>
            <v:shape style="position:absolute;left:11673;top:15273;width:87;height:87" coordorigin="11674,15274" coordsize="87,87" path="m11760,15274l11717,15274,11674,15274,11674,15317,11674,15360,11717,15360,11760,15360,11760,15317,11760,15274e" filled="true" fillcolor="#000000" stroked="false">
              <v:path arrowok="t"/>
              <v:fill type="solid"/>
            </v:shape>
            <w10:wrap type="none"/>
          </v:group>
        </w:pict>
      </w:r>
      <w:r>
        <w:rPr/>
        <w:t>recreation, library services, and public works, the City operates state-of-the art wastewater and water filtration plants. The mission is to provide a community that is safe, clean and efficient.</w:t>
      </w:r>
    </w:p>
    <w:p>
      <w:pPr>
        <w:pStyle w:val="BodyText"/>
        <w:spacing w:before="11"/>
        <w:rPr>
          <w:sz w:val="21"/>
        </w:rPr>
      </w:pPr>
    </w:p>
    <w:p>
      <w:pPr>
        <w:pStyle w:val="BodyText"/>
        <w:ind w:left="480" w:right="481"/>
        <w:jc w:val="both"/>
      </w:pPr>
      <w:r>
        <w:rPr/>
        <w:t>The City has 13 departments to oversee approximately 752 full-time and 194 part-time employees, as well as over 2,470 volunteers. In addition to Unclassified/Management and Unclassified Clerical/Technical positions, the City employees are represented by six (6) bargaining units: Police Officers Association, Fire Safety and Non-Safety Association, Administrative Clerical and Engineering, Maintenance and Operations, Supervisory, and Non- Sworn Police Association. Five (5) of the represented bargaining units are Employee Associations</w:t>
      </w:r>
      <w:r>
        <w:rPr>
          <w:spacing w:val="-11"/>
        </w:rPr>
        <w:t> </w:t>
      </w:r>
      <w:r>
        <w:rPr/>
        <w:t>while</w:t>
      </w:r>
      <w:r>
        <w:rPr>
          <w:spacing w:val="-12"/>
        </w:rPr>
        <w:t> </w:t>
      </w:r>
      <w:r>
        <w:rPr/>
        <w:t>the</w:t>
      </w:r>
      <w:r>
        <w:rPr>
          <w:spacing w:val="-10"/>
        </w:rPr>
        <w:t> </w:t>
      </w:r>
      <w:r>
        <w:rPr/>
        <w:t>Maintenance</w:t>
      </w:r>
      <w:r>
        <w:rPr>
          <w:spacing w:val="-12"/>
        </w:rPr>
        <w:t> </w:t>
      </w:r>
      <w:r>
        <w:rPr/>
        <w:t>and</w:t>
      </w:r>
      <w:r>
        <w:rPr>
          <w:spacing w:val="-13"/>
        </w:rPr>
        <w:t> </w:t>
      </w:r>
      <w:r>
        <w:rPr/>
        <w:t>Operations</w:t>
      </w:r>
      <w:r>
        <w:rPr>
          <w:spacing w:val="-11"/>
        </w:rPr>
        <w:t> </w:t>
      </w:r>
      <w:r>
        <w:rPr/>
        <w:t>bargaining</w:t>
      </w:r>
      <w:r>
        <w:rPr>
          <w:spacing w:val="-9"/>
        </w:rPr>
        <w:t> </w:t>
      </w:r>
      <w:r>
        <w:rPr/>
        <w:t>unit</w:t>
      </w:r>
      <w:r>
        <w:rPr>
          <w:spacing w:val="-12"/>
        </w:rPr>
        <w:t> </w:t>
      </w:r>
      <w:r>
        <w:rPr/>
        <w:t>is</w:t>
      </w:r>
      <w:r>
        <w:rPr>
          <w:spacing w:val="-12"/>
        </w:rPr>
        <w:t> </w:t>
      </w:r>
      <w:r>
        <w:rPr/>
        <w:t>affiliated</w:t>
      </w:r>
      <w:r>
        <w:rPr>
          <w:spacing w:val="-12"/>
        </w:rPr>
        <w:t> </w:t>
      </w:r>
      <w:r>
        <w:rPr/>
        <w:t>with</w:t>
      </w:r>
      <w:r>
        <w:rPr>
          <w:spacing w:val="-13"/>
        </w:rPr>
        <w:t> </w:t>
      </w:r>
      <w:r>
        <w:rPr/>
        <w:t>the</w:t>
      </w:r>
      <w:r>
        <w:rPr>
          <w:spacing w:val="-11"/>
        </w:rPr>
        <w:t> </w:t>
      </w:r>
      <w:r>
        <w:rPr/>
        <w:t>California Teamsters 911 Union. The labor relations within the City are organized and function in accordance with the Meyers-Milias-Brown</w:t>
      </w:r>
      <w:r>
        <w:rPr>
          <w:spacing w:val="-1"/>
        </w:rPr>
        <w:t> </w:t>
      </w:r>
      <w:r>
        <w:rPr/>
        <w:t>Act.</w:t>
      </w:r>
    </w:p>
    <w:p>
      <w:pPr>
        <w:pStyle w:val="BodyText"/>
      </w:pPr>
    </w:p>
    <w:p>
      <w:pPr>
        <w:pStyle w:val="BodyText"/>
        <w:ind w:left="480" w:right="480"/>
        <w:jc w:val="both"/>
      </w:pPr>
      <w:r>
        <w:rPr/>
        <w:t>The</w:t>
      </w:r>
      <w:r>
        <w:rPr>
          <w:spacing w:val="-11"/>
        </w:rPr>
        <w:t> </w:t>
      </w:r>
      <w:r>
        <w:rPr/>
        <w:t>City</w:t>
      </w:r>
      <w:r>
        <w:rPr>
          <w:spacing w:val="-10"/>
        </w:rPr>
        <w:t> </w:t>
      </w:r>
      <w:r>
        <w:rPr/>
        <w:t>has</w:t>
      </w:r>
      <w:r>
        <w:rPr>
          <w:spacing w:val="-8"/>
        </w:rPr>
        <w:t> </w:t>
      </w:r>
      <w:r>
        <w:rPr/>
        <w:t>been</w:t>
      </w:r>
      <w:r>
        <w:rPr>
          <w:spacing w:val="-10"/>
        </w:rPr>
        <w:t> </w:t>
      </w:r>
      <w:r>
        <w:rPr/>
        <w:t>permissibly</w:t>
      </w:r>
      <w:r>
        <w:rPr>
          <w:spacing w:val="-10"/>
        </w:rPr>
        <w:t> </w:t>
      </w:r>
      <w:r>
        <w:rPr/>
        <w:t>self-insured</w:t>
      </w:r>
      <w:r>
        <w:rPr>
          <w:spacing w:val="-10"/>
        </w:rPr>
        <w:t> </w:t>
      </w:r>
      <w:r>
        <w:rPr/>
        <w:t>for</w:t>
      </w:r>
      <w:r>
        <w:rPr>
          <w:spacing w:val="-9"/>
        </w:rPr>
        <w:t> </w:t>
      </w:r>
      <w:r>
        <w:rPr/>
        <w:t>workers’</w:t>
      </w:r>
      <w:r>
        <w:rPr>
          <w:spacing w:val="-10"/>
        </w:rPr>
        <w:t> </w:t>
      </w:r>
      <w:r>
        <w:rPr/>
        <w:t>compensation</w:t>
      </w:r>
      <w:r>
        <w:rPr>
          <w:spacing w:val="-10"/>
        </w:rPr>
        <w:t> </w:t>
      </w:r>
      <w:r>
        <w:rPr/>
        <w:t>since</w:t>
      </w:r>
      <w:r>
        <w:rPr>
          <w:spacing w:val="-7"/>
        </w:rPr>
        <w:t> </w:t>
      </w:r>
      <w:r>
        <w:rPr/>
        <w:t>1979.</w:t>
      </w:r>
      <w:r>
        <w:rPr>
          <w:spacing w:val="38"/>
        </w:rPr>
        <w:t> </w:t>
      </w:r>
      <w:r>
        <w:rPr/>
        <w:t>When</w:t>
      </w:r>
      <w:r>
        <w:rPr>
          <w:spacing w:val="-8"/>
        </w:rPr>
        <w:t> </w:t>
      </w:r>
      <w:r>
        <w:rPr/>
        <w:t>the</w:t>
      </w:r>
      <w:r>
        <w:rPr>
          <w:spacing w:val="-9"/>
        </w:rPr>
        <w:t> </w:t>
      </w:r>
      <w:r>
        <w:rPr/>
        <w:t>City first</w:t>
      </w:r>
      <w:r>
        <w:rPr>
          <w:spacing w:val="-12"/>
        </w:rPr>
        <w:t> </w:t>
      </w:r>
      <w:r>
        <w:rPr/>
        <w:t>moved</w:t>
      </w:r>
      <w:r>
        <w:rPr>
          <w:spacing w:val="-8"/>
        </w:rPr>
        <w:t> </w:t>
      </w:r>
      <w:r>
        <w:rPr/>
        <w:t>into</w:t>
      </w:r>
      <w:r>
        <w:rPr>
          <w:spacing w:val="-9"/>
        </w:rPr>
        <w:t> </w:t>
      </w:r>
      <w:r>
        <w:rPr/>
        <w:t>self-insurance,</w:t>
      </w:r>
      <w:r>
        <w:rPr>
          <w:spacing w:val="-11"/>
        </w:rPr>
        <w:t> </w:t>
      </w:r>
      <w:r>
        <w:rPr/>
        <w:t>the</w:t>
      </w:r>
      <w:r>
        <w:rPr>
          <w:spacing w:val="-10"/>
        </w:rPr>
        <w:t> </w:t>
      </w:r>
      <w:r>
        <w:rPr/>
        <w:t>claims</w:t>
      </w:r>
      <w:r>
        <w:rPr>
          <w:spacing w:val="-8"/>
        </w:rPr>
        <w:t> </w:t>
      </w:r>
      <w:r>
        <w:rPr/>
        <w:t>administration</w:t>
      </w:r>
      <w:r>
        <w:rPr>
          <w:spacing w:val="-8"/>
        </w:rPr>
        <w:t> </w:t>
      </w:r>
      <w:r>
        <w:rPr/>
        <w:t>was</w:t>
      </w:r>
      <w:r>
        <w:rPr>
          <w:spacing w:val="-9"/>
        </w:rPr>
        <w:t> </w:t>
      </w:r>
      <w:r>
        <w:rPr/>
        <w:t>placed</w:t>
      </w:r>
      <w:r>
        <w:rPr>
          <w:spacing w:val="-8"/>
        </w:rPr>
        <w:t> </w:t>
      </w:r>
      <w:r>
        <w:rPr/>
        <w:t>with</w:t>
      </w:r>
      <w:r>
        <w:rPr>
          <w:spacing w:val="-9"/>
        </w:rPr>
        <w:t> </w:t>
      </w:r>
      <w:r>
        <w:rPr/>
        <w:t>a</w:t>
      </w:r>
      <w:r>
        <w:rPr>
          <w:spacing w:val="-11"/>
        </w:rPr>
        <w:t> </w:t>
      </w:r>
      <w:r>
        <w:rPr/>
        <w:t>TPA.</w:t>
      </w:r>
      <w:r>
        <w:rPr>
          <w:spacing w:val="43"/>
        </w:rPr>
        <w:t> </w:t>
      </w:r>
      <w:r>
        <w:rPr/>
        <w:t>In</w:t>
      </w:r>
      <w:r>
        <w:rPr>
          <w:spacing w:val="-9"/>
        </w:rPr>
        <w:t> </w:t>
      </w:r>
      <w:r>
        <w:rPr/>
        <w:t>1992</w:t>
      </w:r>
      <w:r>
        <w:rPr>
          <w:spacing w:val="-11"/>
        </w:rPr>
        <w:t> </w:t>
      </w:r>
      <w:r>
        <w:rPr/>
        <w:t>the</w:t>
      </w:r>
      <w:r>
        <w:rPr>
          <w:spacing w:val="-8"/>
        </w:rPr>
        <w:t> </w:t>
      </w:r>
      <w:r>
        <w:rPr/>
        <w:t>City elected to move the claims administration in-house and in 2000 elected to move back to a TPA, which</w:t>
      </w:r>
      <w:r>
        <w:rPr>
          <w:spacing w:val="-15"/>
        </w:rPr>
        <w:t> </w:t>
      </w:r>
      <w:r>
        <w:rPr/>
        <w:t>is</w:t>
      </w:r>
      <w:r>
        <w:rPr>
          <w:spacing w:val="-16"/>
        </w:rPr>
        <w:t> </w:t>
      </w:r>
      <w:r>
        <w:rPr/>
        <w:t>monitored</w:t>
      </w:r>
      <w:r>
        <w:rPr>
          <w:spacing w:val="-15"/>
        </w:rPr>
        <w:t> </w:t>
      </w:r>
      <w:r>
        <w:rPr/>
        <w:t>closely</w:t>
      </w:r>
      <w:r>
        <w:rPr>
          <w:spacing w:val="-17"/>
        </w:rPr>
        <w:t> </w:t>
      </w:r>
      <w:r>
        <w:rPr/>
        <w:t>by</w:t>
      </w:r>
      <w:r>
        <w:rPr>
          <w:spacing w:val="-16"/>
        </w:rPr>
        <w:t> </w:t>
      </w:r>
      <w:r>
        <w:rPr/>
        <w:t>the</w:t>
      </w:r>
      <w:r>
        <w:rPr>
          <w:spacing w:val="-14"/>
        </w:rPr>
        <w:t> </w:t>
      </w:r>
      <w:r>
        <w:rPr/>
        <w:t>City.</w:t>
      </w:r>
      <w:r>
        <w:rPr>
          <w:spacing w:val="33"/>
        </w:rPr>
        <w:t> </w:t>
      </w:r>
      <w:r>
        <w:rPr/>
        <w:t>The</w:t>
      </w:r>
      <w:r>
        <w:rPr>
          <w:spacing w:val="-14"/>
        </w:rPr>
        <w:t> </w:t>
      </w:r>
      <w:r>
        <w:rPr/>
        <w:t>City</w:t>
      </w:r>
      <w:r>
        <w:rPr>
          <w:spacing w:val="-17"/>
        </w:rPr>
        <w:t> </w:t>
      </w:r>
      <w:r>
        <w:rPr/>
        <w:t>has</w:t>
      </w:r>
      <w:r>
        <w:rPr>
          <w:spacing w:val="-14"/>
        </w:rPr>
        <w:t> </w:t>
      </w:r>
      <w:r>
        <w:rPr/>
        <w:t>worked</w:t>
      </w:r>
      <w:r>
        <w:rPr>
          <w:spacing w:val="-14"/>
        </w:rPr>
        <w:t> </w:t>
      </w:r>
      <w:r>
        <w:rPr/>
        <w:t>with</w:t>
      </w:r>
      <w:r>
        <w:rPr>
          <w:spacing w:val="-15"/>
        </w:rPr>
        <w:t> </w:t>
      </w:r>
      <w:r>
        <w:rPr/>
        <w:t>and</w:t>
      </w:r>
      <w:r>
        <w:rPr>
          <w:spacing w:val="-14"/>
        </w:rPr>
        <w:t> </w:t>
      </w:r>
      <w:r>
        <w:rPr/>
        <w:t>without</w:t>
      </w:r>
      <w:r>
        <w:rPr>
          <w:spacing w:val="-14"/>
        </w:rPr>
        <w:t> </w:t>
      </w:r>
      <w:r>
        <w:rPr/>
        <w:t>an</w:t>
      </w:r>
      <w:r>
        <w:rPr>
          <w:spacing w:val="-16"/>
        </w:rPr>
        <w:t> </w:t>
      </w:r>
      <w:r>
        <w:rPr/>
        <w:t>approved</w:t>
      </w:r>
      <w:r>
        <w:rPr>
          <w:spacing w:val="-15"/>
        </w:rPr>
        <w:t> </w:t>
      </w:r>
      <w:r>
        <w:rPr/>
        <w:t>Medical Provider Network (MPN) panel of physicians. Currently, the City does not use an MPN. The City currently</w:t>
      </w:r>
      <w:r>
        <w:rPr>
          <w:spacing w:val="-9"/>
        </w:rPr>
        <w:t> </w:t>
      </w:r>
      <w:r>
        <w:rPr/>
        <w:t>has</w:t>
      </w:r>
      <w:r>
        <w:rPr>
          <w:spacing w:val="-6"/>
        </w:rPr>
        <w:t> </w:t>
      </w:r>
      <w:r>
        <w:rPr/>
        <w:t>one</w:t>
      </w:r>
      <w:r>
        <w:rPr>
          <w:spacing w:val="-9"/>
        </w:rPr>
        <w:t> </w:t>
      </w:r>
      <w:r>
        <w:rPr/>
        <w:t>Human</w:t>
      </w:r>
      <w:r>
        <w:rPr>
          <w:spacing w:val="-8"/>
        </w:rPr>
        <w:t> </w:t>
      </w:r>
      <w:r>
        <w:rPr/>
        <w:t>Resources</w:t>
      </w:r>
      <w:r>
        <w:rPr>
          <w:spacing w:val="-8"/>
        </w:rPr>
        <w:t> </w:t>
      </w:r>
      <w:r>
        <w:rPr/>
        <w:t>Analyst,</w:t>
      </w:r>
      <w:r>
        <w:rPr>
          <w:spacing w:val="-4"/>
        </w:rPr>
        <w:t> </w:t>
      </w:r>
      <w:r>
        <w:rPr/>
        <w:t>designated</w:t>
      </w:r>
      <w:r>
        <w:rPr>
          <w:spacing w:val="-8"/>
        </w:rPr>
        <w:t> </w:t>
      </w:r>
      <w:r>
        <w:rPr/>
        <w:t>to</w:t>
      </w:r>
      <w:r>
        <w:rPr>
          <w:spacing w:val="-8"/>
        </w:rPr>
        <w:t> </w:t>
      </w:r>
      <w:r>
        <w:rPr/>
        <w:t>workers’</w:t>
      </w:r>
      <w:r>
        <w:rPr>
          <w:spacing w:val="-10"/>
        </w:rPr>
        <w:t> </w:t>
      </w:r>
      <w:r>
        <w:rPr/>
        <w:t>compensation</w:t>
      </w:r>
      <w:r>
        <w:rPr>
          <w:spacing w:val="-9"/>
        </w:rPr>
        <w:t> </w:t>
      </w:r>
      <w:r>
        <w:rPr/>
        <w:t>full</w:t>
      </w:r>
      <w:r>
        <w:rPr>
          <w:spacing w:val="-10"/>
        </w:rPr>
        <w:t> </w:t>
      </w:r>
      <w:r>
        <w:rPr/>
        <w:t>time.</w:t>
      </w:r>
      <w:r>
        <w:rPr>
          <w:spacing w:val="-8"/>
        </w:rPr>
        <w:t> </w:t>
      </w:r>
      <w:r>
        <w:rPr/>
        <w:t>The City intends to continue to employ current staff to monitor and facilitate TPA</w:t>
      </w:r>
      <w:r>
        <w:rPr>
          <w:spacing w:val="-21"/>
        </w:rPr>
        <w:t> </w:t>
      </w:r>
      <w:r>
        <w:rPr/>
        <w:t>services.</w:t>
      </w:r>
    </w:p>
    <w:p>
      <w:pPr>
        <w:pStyle w:val="BodyText"/>
        <w:spacing w:before="10"/>
        <w:rPr>
          <w:sz w:val="21"/>
        </w:rPr>
      </w:pPr>
    </w:p>
    <w:p>
      <w:pPr>
        <w:pStyle w:val="BodyText"/>
        <w:spacing w:before="1"/>
        <w:ind w:left="480" w:right="481"/>
        <w:jc w:val="both"/>
      </w:pPr>
      <w:r>
        <w:rPr/>
        <w:t>The City currently carries excess workers’ compensation insurance through the Public Risk Innovation Solutions, and Management (PRISM) Excess Workers’ Compensation (EWC). The City’s self-insured retention is $500,000. Members of PRISM are expected to provide prompt reporting of potential excess claims. Members are also obligated to follow the PRISM claims administration guidelines.</w:t>
      </w:r>
    </w:p>
    <w:p>
      <w:pPr>
        <w:pStyle w:val="BodyText"/>
        <w:spacing w:before="1"/>
      </w:pPr>
    </w:p>
    <w:p>
      <w:pPr>
        <w:pStyle w:val="BodyText"/>
        <w:ind w:left="480" w:right="480"/>
        <w:jc w:val="both"/>
      </w:pPr>
      <w:r>
        <w:rPr/>
        <w:t>Over the last five years, the City has averaged 100 new claims a year. As of October 1, 2020, the</w:t>
      </w:r>
      <w:r>
        <w:rPr>
          <w:spacing w:val="-3"/>
        </w:rPr>
        <w:t> </w:t>
      </w:r>
      <w:r>
        <w:rPr/>
        <w:t>City</w:t>
      </w:r>
      <w:r>
        <w:rPr>
          <w:spacing w:val="-5"/>
        </w:rPr>
        <w:t> </w:t>
      </w:r>
      <w:r>
        <w:rPr/>
        <w:t>has</w:t>
      </w:r>
      <w:r>
        <w:rPr>
          <w:spacing w:val="-1"/>
        </w:rPr>
        <w:t> </w:t>
      </w:r>
      <w:r>
        <w:rPr/>
        <w:t>15</w:t>
      </w:r>
      <w:r>
        <w:rPr>
          <w:spacing w:val="-2"/>
        </w:rPr>
        <w:t> </w:t>
      </w:r>
      <w:r>
        <w:rPr/>
        <w:t>open</w:t>
      </w:r>
      <w:r>
        <w:rPr>
          <w:spacing w:val="-3"/>
        </w:rPr>
        <w:t> </w:t>
      </w:r>
      <w:r>
        <w:rPr/>
        <w:t>medical</w:t>
      </w:r>
      <w:r>
        <w:rPr>
          <w:spacing w:val="-3"/>
        </w:rPr>
        <w:t> </w:t>
      </w:r>
      <w:r>
        <w:rPr/>
        <w:t>only</w:t>
      </w:r>
      <w:r>
        <w:rPr>
          <w:spacing w:val="-3"/>
        </w:rPr>
        <w:t> </w:t>
      </w:r>
      <w:r>
        <w:rPr/>
        <w:t>and</w:t>
      </w:r>
      <w:r>
        <w:rPr>
          <w:spacing w:val="-3"/>
        </w:rPr>
        <w:t> </w:t>
      </w:r>
      <w:r>
        <w:rPr/>
        <w:t>92</w:t>
      </w:r>
      <w:r>
        <w:rPr>
          <w:spacing w:val="-3"/>
        </w:rPr>
        <w:t> </w:t>
      </w:r>
      <w:r>
        <w:rPr/>
        <w:t>open</w:t>
      </w:r>
      <w:r>
        <w:rPr>
          <w:spacing w:val="-2"/>
        </w:rPr>
        <w:t> </w:t>
      </w:r>
      <w:r>
        <w:rPr/>
        <w:t>indemnity</w:t>
      </w:r>
      <w:r>
        <w:rPr>
          <w:spacing w:val="-5"/>
        </w:rPr>
        <w:t> </w:t>
      </w:r>
      <w:r>
        <w:rPr/>
        <w:t>claims,</w:t>
      </w:r>
      <w:r>
        <w:rPr>
          <w:spacing w:val="-1"/>
        </w:rPr>
        <w:t> </w:t>
      </w:r>
      <w:r>
        <w:rPr/>
        <w:t>and</w:t>
      </w:r>
      <w:r>
        <w:rPr>
          <w:spacing w:val="-3"/>
        </w:rPr>
        <w:t> </w:t>
      </w:r>
      <w:r>
        <w:rPr/>
        <w:t>133</w:t>
      </w:r>
      <w:r>
        <w:rPr>
          <w:spacing w:val="-3"/>
        </w:rPr>
        <w:t> </w:t>
      </w:r>
      <w:r>
        <w:rPr/>
        <w:t>future</w:t>
      </w:r>
      <w:r>
        <w:rPr>
          <w:spacing w:val="-4"/>
        </w:rPr>
        <w:t> </w:t>
      </w:r>
      <w:r>
        <w:rPr/>
        <w:t>medical</w:t>
      </w:r>
      <w:r>
        <w:rPr>
          <w:spacing w:val="-3"/>
        </w:rPr>
        <w:t> </w:t>
      </w:r>
      <w:r>
        <w:rPr/>
        <w:t>claims. The City averages 250 medical bills per</w:t>
      </w:r>
      <w:r>
        <w:rPr>
          <w:spacing w:val="-8"/>
        </w:rPr>
        <w:t> </w:t>
      </w:r>
      <w:r>
        <w:rPr/>
        <w:t>month.</w:t>
      </w:r>
    </w:p>
    <w:p>
      <w:pPr>
        <w:pStyle w:val="BodyText"/>
        <w:spacing w:before="10"/>
        <w:rPr>
          <w:sz w:val="21"/>
        </w:rPr>
      </w:pPr>
    </w:p>
    <w:p>
      <w:pPr>
        <w:pStyle w:val="BodyText"/>
        <w:ind w:left="480" w:right="481"/>
        <w:jc w:val="both"/>
      </w:pPr>
      <w:r>
        <w:rPr/>
        <w:t>The</w:t>
      </w:r>
      <w:r>
        <w:rPr>
          <w:spacing w:val="-23"/>
        </w:rPr>
        <w:t> </w:t>
      </w:r>
      <w:r>
        <w:rPr/>
        <w:t>Workers’</w:t>
      </w:r>
      <w:r>
        <w:rPr>
          <w:spacing w:val="-17"/>
        </w:rPr>
        <w:t> </w:t>
      </w:r>
      <w:r>
        <w:rPr/>
        <w:t>Compensation</w:t>
      </w:r>
      <w:r>
        <w:rPr>
          <w:spacing w:val="-16"/>
        </w:rPr>
        <w:t> </w:t>
      </w:r>
      <w:r>
        <w:rPr/>
        <w:t>Division</w:t>
      </w:r>
      <w:r>
        <w:rPr>
          <w:spacing w:val="-15"/>
        </w:rPr>
        <w:t> </w:t>
      </w:r>
      <w:r>
        <w:rPr/>
        <w:t>resides</w:t>
      </w:r>
      <w:r>
        <w:rPr>
          <w:spacing w:val="-15"/>
        </w:rPr>
        <w:t> </w:t>
      </w:r>
      <w:r>
        <w:rPr/>
        <w:t>in</w:t>
      </w:r>
      <w:r>
        <w:rPr>
          <w:spacing w:val="-16"/>
        </w:rPr>
        <w:t> </w:t>
      </w:r>
      <w:r>
        <w:rPr/>
        <w:t>the</w:t>
      </w:r>
      <w:r>
        <w:rPr>
          <w:spacing w:val="-15"/>
        </w:rPr>
        <w:t> </w:t>
      </w:r>
      <w:r>
        <w:rPr/>
        <w:t>Human</w:t>
      </w:r>
      <w:r>
        <w:rPr>
          <w:spacing w:val="-14"/>
        </w:rPr>
        <w:t> </w:t>
      </w:r>
      <w:r>
        <w:rPr/>
        <w:t>Resources</w:t>
      </w:r>
      <w:r>
        <w:rPr>
          <w:spacing w:val="-15"/>
        </w:rPr>
        <w:t> </w:t>
      </w:r>
      <w:r>
        <w:rPr/>
        <w:t>Department,</w:t>
      </w:r>
      <w:r>
        <w:rPr>
          <w:spacing w:val="-15"/>
        </w:rPr>
        <w:t> </w:t>
      </w:r>
      <w:r>
        <w:rPr/>
        <w:t>which</w:t>
      </w:r>
      <w:r>
        <w:rPr>
          <w:spacing w:val="-16"/>
        </w:rPr>
        <w:t> </w:t>
      </w:r>
      <w:r>
        <w:rPr/>
        <w:t>reports directly to the Risk and Safety’s Insurance Manager. The City Manager has authority to settle claims up to $50,000 and the Human Resources Director up to $10,000. The City Attorney’s office reviews all claim</w:t>
      </w:r>
      <w:r>
        <w:rPr>
          <w:spacing w:val="-4"/>
        </w:rPr>
        <w:t> </w:t>
      </w:r>
      <w:r>
        <w:rPr/>
        <w:t>settlements.</w:t>
      </w:r>
    </w:p>
    <w:p>
      <w:pPr>
        <w:pStyle w:val="BodyText"/>
        <w:rPr>
          <w:sz w:val="16"/>
        </w:rPr>
      </w:pPr>
    </w:p>
    <w:p>
      <w:pPr>
        <w:pStyle w:val="Heading1"/>
        <w:spacing w:before="92"/>
        <w:rPr>
          <w:u w:val="none"/>
        </w:rPr>
      </w:pPr>
      <w:r>
        <w:rPr>
          <w:spacing w:val="-187"/>
          <w:u w:val="thick"/>
        </w:rPr>
        <w:t>S</w:t>
      </w:r>
      <w:r>
        <w:rPr>
          <w:spacing w:val="112"/>
          <w:u w:val="none"/>
        </w:rPr>
        <w:t> </w:t>
      </w:r>
      <w:r>
        <w:rPr>
          <w:u w:val="thick"/>
        </w:rPr>
        <w:t>ection D</w:t>
      </w:r>
    </w:p>
    <w:p>
      <w:pPr>
        <w:pStyle w:val="Heading2"/>
        <w:ind w:right="1047"/>
      </w:pPr>
      <w:r>
        <w:rPr/>
        <w:t>SCOPE OF WORK</w:t>
      </w:r>
    </w:p>
    <w:p>
      <w:pPr>
        <w:pStyle w:val="BodyText"/>
        <w:spacing w:before="10"/>
        <w:rPr>
          <w:b/>
          <w:sz w:val="21"/>
        </w:rPr>
      </w:pPr>
    </w:p>
    <w:p>
      <w:pPr>
        <w:pStyle w:val="BodyText"/>
        <w:ind w:left="480" w:right="481"/>
        <w:jc w:val="both"/>
      </w:pPr>
      <w:r>
        <w:rPr/>
        <w:t>The</w:t>
      </w:r>
      <w:r>
        <w:rPr>
          <w:spacing w:val="-10"/>
        </w:rPr>
        <w:t> </w:t>
      </w:r>
      <w:r>
        <w:rPr/>
        <w:t>following</w:t>
      </w:r>
      <w:r>
        <w:rPr>
          <w:spacing w:val="-3"/>
        </w:rPr>
        <w:t> </w:t>
      </w:r>
      <w:r>
        <w:rPr/>
        <w:t>performance</w:t>
      </w:r>
      <w:r>
        <w:rPr>
          <w:spacing w:val="-6"/>
        </w:rPr>
        <w:t> </w:t>
      </w:r>
      <w:r>
        <w:rPr/>
        <w:t>standards</w:t>
      </w:r>
      <w:r>
        <w:rPr>
          <w:spacing w:val="-5"/>
        </w:rPr>
        <w:t> </w:t>
      </w:r>
      <w:r>
        <w:rPr/>
        <w:t>establish</w:t>
      </w:r>
      <w:r>
        <w:rPr>
          <w:spacing w:val="-6"/>
        </w:rPr>
        <w:t> </w:t>
      </w:r>
      <w:r>
        <w:rPr/>
        <w:t>the</w:t>
      </w:r>
      <w:r>
        <w:rPr>
          <w:spacing w:val="-6"/>
        </w:rPr>
        <w:t> </w:t>
      </w:r>
      <w:r>
        <w:rPr/>
        <w:t>minimum</w:t>
      </w:r>
      <w:r>
        <w:rPr>
          <w:spacing w:val="-6"/>
        </w:rPr>
        <w:t> </w:t>
      </w:r>
      <w:r>
        <w:rPr/>
        <w:t>requirements</w:t>
      </w:r>
      <w:r>
        <w:rPr>
          <w:spacing w:val="-9"/>
        </w:rPr>
        <w:t> </w:t>
      </w:r>
      <w:r>
        <w:rPr/>
        <w:t>and</w:t>
      </w:r>
      <w:r>
        <w:rPr>
          <w:spacing w:val="-6"/>
        </w:rPr>
        <w:t> </w:t>
      </w:r>
      <w:r>
        <w:rPr/>
        <w:t>level</w:t>
      </w:r>
      <w:r>
        <w:rPr>
          <w:spacing w:val="-6"/>
        </w:rPr>
        <w:t> </w:t>
      </w:r>
      <w:r>
        <w:rPr/>
        <w:t>of</w:t>
      </w:r>
      <w:r>
        <w:rPr>
          <w:spacing w:val="-2"/>
        </w:rPr>
        <w:t> </w:t>
      </w:r>
      <w:r>
        <w:rPr/>
        <w:t>service</w:t>
      </w:r>
      <w:r>
        <w:rPr>
          <w:spacing w:val="-7"/>
        </w:rPr>
        <w:t> </w:t>
      </w:r>
      <w:r>
        <w:rPr/>
        <w:t>to be</w:t>
      </w:r>
      <w:r>
        <w:rPr>
          <w:spacing w:val="-7"/>
        </w:rPr>
        <w:t> </w:t>
      </w:r>
      <w:r>
        <w:rPr/>
        <w:t>provided</w:t>
      </w:r>
      <w:r>
        <w:rPr>
          <w:spacing w:val="-7"/>
        </w:rPr>
        <w:t> </w:t>
      </w:r>
      <w:r>
        <w:rPr/>
        <w:t>by</w:t>
      </w:r>
      <w:r>
        <w:rPr>
          <w:spacing w:val="-7"/>
        </w:rPr>
        <w:t> </w:t>
      </w:r>
      <w:r>
        <w:rPr/>
        <w:t>the</w:t>
      </w:r>
      <w:r>
        <w:rPr>
          <w:spacing w:val="-8"/>
        </w:rPr>
        <w:t> </w:t>
      </w:r>
      <w:r>
        <w:rPr/>
        <w:t>TPA</w:t>
      </w:r>
      <w:r>
        <w:rPr>
          <w:spacing w:val="-8"/>
        </w:rPr>
        <w:t> </w:t>
      </w:r>
      <w:r>
        <w:rPr/>
        <w:t>in</w:t>
      </w:r>
      <w:r>
        <w:rPr>
          <w:spacing w:val="-7"/>
        </w:rPr>
        <w:t> </w:t>
      </w:r>
      <w:r>
        <w:rPr/>
        <w:t>delivering</w:t>
      </w:r>
      <w:r>
        <w:rPr>
          <w:spacing w:val="-2"/>
        </w:rPr>
        <w:t> </w:t>
      </w:r>
      <w:r>
        <w:rPr/>
        <w:t>the</w:t>
      </w:r>
      <w:r>
        <w:rPr>
          <w:spacing w:val="-6"/>
        </w:rPr>
        <w:t> </w:t>
      </w:r>
      <w:r>
        <w:rPr/>
        <w:t>Services</w:t>
      </w:r>
      <w:r>
        <w:rPr>
          <w:spacing w:val="-8"/>
        </w:rPr>
        <w:t> </w:t>
      </w:r>
      <w:r>
        <w:rPr/>
        <w:t>to</w:t>
      </w:r>
      <w:r>
        <w:rPr>
          <w:spacing w:val="-8"/>
        </w:rPr>
        <w:t> </w:t>
      </w:r>
      <w:r>
        <w:rPr/>
        <w:t>the</w:t>
      </w:r>
      <w:r>
        <w:rPr>
          <w:spacing w:val="-5"/>
        </w:rPr>
        <w:t> </w:t>
      </w:r>
      <w:r>
        <w:rPr/>
        <w:t>City.</w:t>
      </w:r>
      <w:r>
        <w:rPr>
          <w:spacing w:val="47"/>
        </w:rPr>
        <w:t> </w:t>
      </w:r>
      <w:r>
        <w:rPr/>
        <w:t>The</w:t>
      </w:r>
      <w:r>
        <w:rPr>
          <w:spacing w:val="-9"/>
        </w:rPr>
        <w:t> </w:t>
      </w:r>
      <w:r>
        <w:rPr/>
        <w:t>TPA</w:t>
      </w:r>
      <w:r>
        <w:rPr>
          <w:spacing w:val="-4"/>
        </w:rPr>
        <w:t> </w:t>
      </w:r>
      <w:r>
        <w:rPr/>
        <w:t>to</w:t>
      </w:r>
      <w:r>
        <w:rPr>
          <w:spacing w:val="-9"/>
        </w:rPr>
        <w:t> </w:t>
      </w:r>
      <w:r>
        <w:rPr/>
        <w:t>whom</w:t>
      </w:r>
      <w:r>
        <w:rPr>
          <w:spacing w:val="-3"/>
        </w:rPr>
        <w:t> </w:t>
      </w:r>
      <w:r>
        <w:rPr/>
        <w:t>the</w:t>
      </w:r>
      <w:r>
        <w:rPr>
          <w:spacing w:val="-5"/>
        </w:rPr>
        <w:t> </w:t>
      </w:r>
      <w:r>
        <w:rPr/>
        <w:t>City</w:t>
      </w:r>
      <w:r>
        <w:rPr>
          <w:spacing w:val="-8"/>
        </w:rPr>
        <w:t> </w:t>
      </w:r>
      <w:r>
        <w:rPr/>
        <w:t>contract is awarded agrees that all duties and responsibilities contained within this scope of work will be provided to the City at no additional cost beyond the proposed fees unless otherwise specifically noted herein and agreed to by both</w:t>
      </w:r>
      <w:r>
        <w:rPr>
          <w:spacing w:val="-7"/>
        </w:rPr>
        <w:t> </w:t>
      </w:r>
      <w:r>
        <w:rPr/>
        <w:t>parties.</w:t>
      </w:r>
    </w:p>
    <w:p>
      <w:pPr>
        <w:pStyle w:val="BodyText"/>
        <w:rPr>
          <w:sz w:val="14"/>
        </w:rPr>
      </w:pPr>
    </w:p>
    <w:p>
      <w:pPr>
        <w:pStyle w:val="Heading4"/>
        <w:numPr>
          <w:ilvl w:val="0"/>
          <w:numId w:val="1"/>
        </w:numPr>
        <w:tabs>
          <w:tab w:pos="840" w:val="left" w:leader="none"/>
        </w:tabs>
        <w:spacing w:line="240" w:lineRule="auto" w:before="93" w:after="0"/>
        <w:ind w:left="840" w:right="0" w:hanging="360"/>
        <w:jc w:val="left"/>
      </w:pPr>
      <w:r>
        <w:rPr>
          <w:spacing w:val="-160"/>
          <w:u w:val="thick"/>
        </w:rPr>
        <w:t>C</w:t>
      </w:r>
      <w:r>
        <w:rPr>
          <w:spacing w:val="100"/>
        </w:rPr>
        <w:t> </w:t>
      </w:r>
      <w:r>
        <w:rPr>
          <w:u w:val="thick"/>
        </w:rPr>
        <w:t>aseload</w:t>
      </w:r>
    </w:p>
    <w:p>
      <w:pPr>
        <w:pStyle w:val="BodyText"/>
        <w:spacing w:before="11"/>
        <w:rPr>
          <w:b/>
          <w:sz w:val="13"/>
        </w:rPr>
      </w:pPr>
    </w:p>
    <w:p>
      <w:pPr>
        <w:pStyle w:val="BodyText"/>
        <w:spacing w:before="93"/>
        <w:ind w:left="840" w:right="483"/>
        <w:jc w:val="both"/>
      </w:pPr>
      <w:r>
        <w:rPr/>
        <w:t>Each examiner shall have a caseload within a range of 125 to 140 open indemnity claims, which includes future medical claims. If the caseload contains medical only claims, two medical only claims shall equal one active indemnity claim.</w:t>
      </w:r>
    </w:p>
    <w:p>
      <w:pPr>
        <w:spacing w:after="0"/>
        <w:jc w:val="both"/>
        <w:sectPr>
          <w:pgSz w:w="12240" w:h="15840"/>
          <w:pgMar w:header="0" w:footer="1248" w:top="740" w:bottom="1440" w:left="960" w:right="960"/>
        </w:sectPr>
      </w:pPr>
    </w:p>
    <w:p>
      <w:pPr>
        <w:pStyle w:val="Heading4"/>
        <w:numPr>
          <w:ilvl w:val="0"/>
          <w:numId w:val="1"/>
        </w:numPr>
        <w:tabs>
          <w:tab w:pos="840" w:val="left" w:leader="none"/>
        </w:tabs>
        <w:spacing w:line="240" w:lineRule="auto" w:before="71" w:after="0"/>
        <w:ind w:left="840" w:right="0" w:hanging="360"/>
        <w:jc w:val="left"/>
      </w:pPr>
      <w:r>
        <w:rPr/>
        <w:pict>
          <v:group style="position:absolute;margin-left:26.160002pt;margin-top:26.160002pt;width:561.85pt;height:741.85pt;mso-position-horizontal-relative:page;mso-position-vertical-relative:page;z-index:-253982720" coordorigin="523,523" coordsize="11237,14837">
            <v:line style="position:absolute" from="523,545" to="11674,545" stroked="true" strokeweight="2.159998pt" strokecolor="#000000">
              <v:stroke dashstyle="solid"/>
            </v:line>
            <v:rect style="position:absolute;left:11673;top:523;width:44;height:44" filled="true" fillcolor="#000000" stroked="false">
              <v:fill type="solid"/>
            </v:rect>
            <v:line style="position:absolute" from="545,566" to="545,15317" stroked="true" strokeweight="2.159998pt" strokecolor="#000000">
              <v:stroke dashstyle="solid"/>
            </v:line>
            <v:line style="position:absolute" from="11717,566" to="11717,15274" stroked="true" strokeweight="4.320008pt" strokecolor="#000000">
              <v:stroke dashstyle="solid"/>
            </v:line>
            <v:line style="position:absolute" from="566,15317" to="11674,15317" stroked="true" strokeweight="4.320008pt" strokecolor="#000000">
              <v:stroke dashstyle="solid"/>
            </v:line>
            <v:shape style="position:absolute;left:11673;top:15273;width:87;height:87" coordorigin="11674,15274" coordsize="87,87" path="m11760,15274l11717,15274,11674,15274,11674,15317,11674,15360,11717,15360,11760,15360,11760,15317,11760,15274e" filled="true" fillcolor="#000000" stroked="false">
              <v:path arrowok="t"/>
              <v:fill type="solid"/>
            </v:shape>
            <w10:wrap type="none"/>
          </v:group>
        </w:pict>
      </w:r>
      <w:r>
        <w:rPr>
          <w:spacing w:val="-160"/>
          <w:u w:val="thick"/>
        </w:rPr>
        <w:t>C</w:t>
      </w:r>
      <w:r>
        <w:rPr>
          <w:spacing w:val="100"/>
        </w:rPr>
        <w:t> </w:t>
      </w:r>
      <w:r>
        <w:rPr>
          <w:u w:val="thick"/>
        </w:rPr>
        <w:t>laim File </w:t>
      </w:r>
      <w:r>
        <w:rPr>
          <w:spacing w:val="-2"/>
          <w:u w:val="thick"/>
        </w:rPr>
        <w:t>Set</w:t>
      </w:r>
      <w:r>
        <w:rPr>
          <w:spacing w:val="4"/>
          <w:u w:val="thick"/>
        </w:rPr>
        <w:t> </w:t>
      </w:r>
      <w:r>
        <w:rPr>
          <w:u w:val="thick"/>
        </w:rPr>
        <w:t>Up</w:t>
      </w:r>
    </w:p>
    <w:p>
      <w:pPr>
        <w:pStyle w:val="BodyText"/>
        <w:spacing w:before="8"/>
        <w:rPr>
          <w:b/>
          <w:sz w:val="13"/>
        </w:rPr>
      </w:pPr>
    </w:p>
    <w:p>
      <w:pPr>
        <w:pStyle w:val="BodyText"/>
        <w:spacing w:before="93"/>
        <w:ind w:left="840" w:right="478"/>
        <w:jc w:val="both"/>
      </w:pPr>
      <w:r>
        <w:rPr/>
        <w:t>Upon receipt of the Employer’s Report of Occupational Injury or Illness or Application for Adjudication</w:t>
      </w:r>
      <w:r>
        <w:rPr>
          <w:spacing w:val="-14"/>
        </w:rPr>
        <w:t> </w:t>
      </w:r>
      <w:r>
        <w:rPr/>
        <w:t>of</w:t>
      </w:r>
      <w:r>
        <w:rPr>
          <w:spacing w:val="-10"/>
        </w:rPr>
        <w:t> </w:t>
      </w:r>
      <w:r>
        <w:rPr/>
        <w:t>Claim,</w:t>
      </w:r>
      <w:r>
        <w:rPr>
          <w:spacing w:val="-15"/>
        </w:rPr>
        <w:t> </w:t>
      </w:r>
      <w:r>
        <w:rPr/>
        <w:t>the</w:t>
      </w:r>
      <w:r>
        <w:rPr>
          <w:spacing w:val="-16"/>
        </w:rPr>
        <w:t> </w:t>
      </w:r>
      <w:r>
        <w:rPr/>
        <w:t>TPA</w:t>
      </w:r>
      <w:r>
        <w:rPr>
          <w:spacing w:val="-13"/>
        </w:rPr>
        <w:t> </w:t>
      </w:r>
      <w:r>
        <w:rPr/>
        <w:t>will</w:t>
      </w:r>
      <w:r>
        <w:rPr>
          <w:spacing w:val="-16"/>
        </w:rPr>
        <w:t> </w:t>
      </w:r>
      <w:r>
        <w:rPr/>
        <w:t>prepare</w:t>
      </w:r>
      <w:r>
        <w:rPr>
          <w:spacing w:val="-14"/>
        </w:rPr>
        <w:t> </w:t>
      </w:r>
      <w:r>
        <w:rPr/>
        <w:t>an</w:t>
      </w:r>
      <w:r>
        <w:rPr>
          <w:spacing w:val="-17"/>
        </w:rPr>
        <w:t> </w:t>
      </w:r>
      <w:r>
        <w:rPr/>
        <w:t>individual</w:t>
      </w:r>
      <w:r>
        <w:rPr>
          <w:spacing w:val="-16"/>
        </w:rPr>
        <w:t> </w:t>
      </w:r>
      <w:r>
        <w:rPr/>
        <w:t>claim</w:t>
      </w:r>
      <w:r>
        <w:rPr>
          <w:spacing w:val="-14"/>
        </w:rPr>
        <w:t> </w:t>
      </w:r>
      <w:r>
        <w:rPr/>
        <w:t>file</w:t>
      </w:r>
      <w:r>
        <w:rPr>
          <w:spacing w:val="-13"/>
        </w:rPr>
        <w:t> </w:t>
      </w:r>
      <w:r>
        <w:rPr/>
        <w:t>within</w:t>
      </w:r>
      <w:r>
        <w:rPr>
          <w:spacing w:val="-15"/>
        </w:rPr>
        <w:t> </w:t>
      </w:r>
      <w:r>
        <w:rPr/>
        <w:t>two</w:t>
      </w:r>
      <w:r>
        <w:rPr>
          <w:spacing w:val="-13"/>
        </w:rPr>
        <w:t> </w:t>
      </w:r>
      <w:r>
        <w:rPr/>
        <w:t>(2)</w:t>
      </w:r>
      <w:r>
        <w:rPr>
          <w:spacing w:val="-11"/>
        </w:rPr>
        <w:t> </w:t>
      </w:r>
      <w:r>
        <w:rPr/>
        <w:t>business</w:t>
      </w:r>
      <w:r>
        <w:rPr>
          <w:spacing w:val="-16"/>
        </w:rPr>
        <w:t> </w:t>
      </w:r>
      <w:r>
        <w:rPr/>
        <w:t>days for each claim. Preparation of the claim file shall include reviewing the claim entered into</w:t>
      </w:r>
      <w:r>
        <w:rPr>
          <w:spacing w:val="-38"/>
        </w:rPr>
        <w:t> </w:t>
      </w:r>
      <w:r>
        <w:rPr/>
        <w:t>the computer system by the City’s staff and establishing appropriate initial reserves. Initial reserves will be set based on the facts known at the time the case is entered into and clearly documented in the computer system. The file shall be available to the City, including their representatives,</w:t>
      </w:r>
      <w:r>
        <w:rPr>
          <w:spacing w:val="-8"/>
        </w:rPr>
        <w:t> </w:t>
      </w:r>
      <w:r>
        <w:rPr/>
        <w:t>claims</w:t>
      </w:r>
      <w:r>
        <w:rPr>
          <w:spacing w:val="-12"/>
        </w:rPr>
        <w:t> </w:t>
      </w:r>
      <w:r>
        <w:rPr/>
        <w:t>auditors</w:t>
      </w:r>
      <w:r>
        <w:rPr>
          <w:spacing w:val="-11"/>
        </w:rPr>
        <w:t> </w:t>
      </w:r>
      <w:r>
        <w:rPr/>
        <w:t>and</w:t>
      </w:r>
      <w:r>
        <w:rPr>
          <w:spacing w:val="-11"/>
        </w:rPr>
        <w:t> </w:t>
      </w:r>
      <w:r>
        <w:rPr/>
        <w:t>agents</w:t>
      </w:r>
      <w:r>
        <w:rPr>
          <w:spacing w:val="-14"/>
        </w:rPr>
        <w:t> </w:t>
      </w:r>
      <w:r>
        <w:rPr/>
        <w:t>for</w:t>
      </w:r>
      <w:r>
        <w:rPr>
          <w:spacing w:val="-9"/>
        </w:rPr>
        <w:t> </w:t>
      </w:r>
      <w:r>
        <w:rPr/>
        <w:t>inspection,</w:t>
      </w:r>
      <w:r>
        <w:rPr>
          <w:spacing w:val="-8"/>
        </w:rPr>
        <w:t> </w:t>
      </w:r>
      <w:r>
        <w:rPr/>
        <w:t>and</w:t>
      </w:r>
      <w:r>
        <w:rPr>
          <w:spacing w:val="-14"/>
        </w:rPr>
        <w:t> </w:t>
      </w:r>
      <w:r>
        <w:rPr/>
        <w:t>contain</w:t>
      </w:r>
      <w:r>
        <w:rPr>
          <w:spacing w:val="-11"/>
        </w:rPr>
        <w:t> </w:t>
      </w:r>
      <w:r>
        <w:rPr/>
        <w:t>all</w:t>
      </w:r>
      <w:r>
        <w:rPr>
          <w:spacing w:val="-15"/>
        </w:rPr>
        <w:t> </w:t>
      </w:r>
      <w:r>
        <w:rPr/>
        <w:t>medical</w:t>
      </w:r>
      <w:r>
        <w:rPr>
          <w:spacing w:val="-13"/>
        </w:rPr>
        <w:t> </w:t>
      </w:r>
      <w:r>
        <w:rPr/>
        <w:t>and</w:t>
      </w:r>
      <w:r>
        <w:rPr>
          <w:spacing w:val="-13"/>
        </w:rPr>
        <w:t> </w:t>
      </w:r>
      <w:r>
        <w:rPr/>
        <w:t>factual information on each claim reported. All paperless system documentation shall be clearly identified (e.g., legal correspondence, billing, medical</w:t>
      </w:r>
      <w:r>
        <w:rPr>
          <w:spacing w:val="-4"/>
        </w:rPr>
        <w:t> </w:t>
      </w:r>
      <w:r>
        <w:rPr/>
        <w:t>reports).</w:t>
      </w:r>
    </w:p>
    <w:p>
      <w:pPr>
        <w:pStyle w:val="BodyText"/>
        <w:spacing w:before="10"/>
        <w:rPr>
          <w:sz w:val="13"/>
        </w:rPr>
      </w:pPr>
    </w:p>
    <w:p>
      <w:pPr>
        <w:pStyle w:val="Heading4"/>
        <w:numPr>
          <w:ilvl w:val="0"/>
          <w:numId w:val="1"/>
        </w:numPr>
        <w:tabs>
          <w:tab w:pos="840" w:val="left" w:leader="none"/>
        </w:tabs>
        <w:spacing w:line="240" w:lineRule="auto" w:before="94" w:after="0"/>
        <w:ind w:left="840" w:right="0" w:hanging="360"/>
        <w:jc w:val="left"/>
      </w:pPr>
      <w:r>
        <w:rPr>
          <w:spacing w:val="-160"/>
          <w:u w:val="thick"/>
        </w:rPr>
        <w:t>C</w:t>
      </w:r>
      <w:r>
        <w:rPr>
          <w:spacing w:val="100"/>
        </w:rPr>
        <w:t> </w:t>
      </w:r>
      <w:r>
        <w:rPr>
          <w:u w:val="thick"/>
        </w:rPr>
        <w:t>overage</w:t>
      </w:r>
    </w:p>
    <w:p>
      <w:pPr>
        <w:pStyle w:val="BodyText"/>
        <w:spacing w:before="10"/>
        <w:rPr>
          <w:b/>
          <w:sz w:val="13"/>
        </w:rPr>
      </w:pPr>
    </w:p>
    <w:p>
      <w:pPr>
        <w:pStyle w:val="BodyText"/>
        <w:spacing w:before="94"/>
        <w:ind w:left="840" w:right="481"/>
        <w:jc w:val="both"/>
      </w:pPr>
      <w:r>
        <w:rPr/>
        <w:t>The TPA shall verify coverage was provided to the City on the date of injury or illness in accordance with PRISM program dates and governing documents. If applicable, the TPA shall</w:t>
      </w:r>
      <w:r>
        <w:rPr>
          <w:spacing w:val="-11"/>
        </w:rPr>
        <w:t> </w:t>
      </w:r>
      <w:r>
        <w:rPr/>
        <w:t>exercise</w:t>
      </w:r>
      <w:r>
        <w:rPr>
          <w:spacing w:val="-8"/>
        </w:rPr>
        <w:t> </w:t>
      </w:r>
      <w:r>
        <w:rPr/>
        <w:t>due</w:t>
      </w:r>
      <w:r>
        <w:rPr>
          <w:spacing w:val="-8"/>
        </w:rPr>
        <w:t> </w:t>
      </w:r>
      <w:r>
        <w:rPr/>
        <w:t>diligence</w:t>
      </w:r>
      <w:r>
        <w:rPr>
          <w:spacing w:val="-8"/>
        </w:rPr>
        <w:t> </w:t>
      </w:r>
      <w:r>
        <w:rPr/>
        <w:t>in</w:t>
      </w:r>
      <w:r>
        <w:rPr>
          <w:spacing w:val="-10"/>
        </w:rPr>
        <w:t> </w:t>
      </w:r>
      <w:r>
        <w:rPr/>
        <w:t>joining</w:t>
      </w:r>
      <w:r>
        <w:rPr>
          <w:spacing w:val="-8"/>
        </w:rPr>
        <w:t> </w:t>
      </w:r>
      <w:r>
        <w:rPr/>
        <w:t>applicable</w:t>
      </w:r>
      <w:r>
        <w:rPr>
          <w:spacing w:val="-9"/>
        </w:rPr>
        <w:t> </w:t>
      </w:r>
      <w:r>
        <w:rPr/>
        <w:t>co-defendants.</w:t>
      </w:r>
      <w:r>
        <w:rPr>
          <w:spacing w:val="45"/>
        </w:rPr>
        <w:t> </w:t>
      </w:r>
      <w:r>
        <w:rPr/>
        <w:t>All</w:t>
      </w:r>
      <w:r>
        <w:rPr>
          <w:spacing w:val="-11"/>
        </w:rPr>
        <w:t> </w:t>
      </w:r>
      <w:r>
        <w:rPr/>
        <w:t>activity</w:t>
      </w:r>
      <w:r>
        <w:rPr>
          <w:spacing w:val="-8"/>
        </w:rPr>
        <w:t> </w:t>
      </w:r>
      <w:r>
        <w:rPr/>
        <w:t>to</w:t>
      </w:r>
      <w:r>
        <w:rPr>
          <w:spacing w:val="-8"/>
        </w:rPr>
        <w:t> </w:t>
      </w:r>
      <w:r>
        <w:rPr/>
        <w:t>verify</w:t>
      </w:r>
      <w:r>
        <w:rPr>
          <w:spacing w:val="-10"/>
        </w:rPr>
        <w:t> </w:t>
      </w:r>
      <w:r>
        <w:rPr/>
        <w:t>coverage and join co-defendants shall be clearly documented in the computer</w:t>
      </w:r>
      <w:r>
        <w:rPr>
          <w:spacing w:val="-10"/>
        </w:rPr>
        <w:t> </w:t>
      </w:r>
      <w:r>
        <w:rPr/>
        <w:t>system.</w:t>
      </w:r>
    </w:p>
    <w:p>
      <w:pPr>
        <w:pStyle w:val="BodyText"/>
        <w:spacing w:before="10"/>
        <w:rPr>
          <w:sz w:val="13"/>
        </w:rPr>
      </w:pPr>
    </w:p>
    <w:p>
      <w:pPr>
        <w:pStyle w:val="Heading4"/>
        <w:numPr>
          <w:ilvl w:val="0"/>
          <w:numId w:val="1"/>
        </w:numPr>
        <w:tabs>
          <w:tab w:pos="840" w:val="left" w:leader="none"/>
        </w:tabs>
        <w:spacing w:line="240" w:lineRule="auto" w:before="93" w:after="0"/>
        <w:ind w:left="840" w:right="0" w:hanging="360"/>
        <w:jc w:val="left"/>
      </w:pPr>
      <w:r>
        <w:rPr>
          <w:spacing w:val="-62"/>
          <w:u w:val="thick"/>
        </w:rPr>
        <w:t>I</w:t>
      </w:r>
      <w:r>
        <w:rPr>
          <w:spacing w:val="-1"/>
          <w:u w:val="thick"/>
        </w:rPr>
        <w:t> </w:t>
      </w:r>
      <w:r>
        <w:rPr>
          <w:u w:val="thick"/>
        </w:rPr>
        <w:t>SO and</w:t>
      </w:r>
      <w:r>
        <w:rPr>
          <w:spacing w:val="1"/>
          <w:u w:val="thick"/>
        </w:rPr>
        <w:t> </w:t>
      </w:r>
      <w:r>
        <w:rPr>
          <w:u w:val="thick"/>
        </w:rPr>
        <w:t>EDEX</w:t>
      </w:r>
    </w:p>
    <w:p>
      <w:pPr>
        <w:pStyle w:val="BodyText"/>
        <w:spacing w:before="11"/>
        <w:rPr>
          <w:b/>
          <w:sz w:val="13"/>
        </w:rPr>
      </w:pPr>
    </w:p>
    <w:p>
      <w:pPr>
        <w:pStyle w:val="BodyText"/>
        <w:spacing w:before="93"/>
        <w:ind w:left="840" w:right="482"/>
        <w:jc w:val="both"/>
      </w:pPr>
      <w:r>
        <w:rPr/>
        <w:t>The TPA shall subscribe to the ISO, or other recommended organizations in order to obtain background history on individual claims. Costs to subscribe to these services shall be included in the pricing structure. The examiner shall request a report from ISO, or other recommended organizations on all new indemnity claims. Subsequent requests should be made every six to 12 months thereafter on all active indemnity claims.</w:t>
      </w:r>
    </w:p>
    <w:p>
      <w:pPr>
        <w:pStyle w:val="BodyText"/>
        <w:spacing w:before="1"/>
      </w:pPr>
    </w:p>
    <w:p>
      <w:pPr>
        <w:pStyle w:val="Heading4"/>
        <w:numPr>
          <w:ilvl w:val="0"/>
          <w:numId w:val="1"/>
        </w:numPr>
        <w:tabs>
          <w:tab w:pos="840" w:val="left" w:leader="none"/>
        </w:tabs>
        <w:spacing w:line="240" w:lineRule="auto" w:before="0" w:after="0"/>
        <w:ind w:left="840" w:right="0" w:hanging="360"/>
        <w:jc w:val="left"/>
      </w:pPr>
      <w:r>
        <w:rPr>
          <w:rFonts w:ascii="Times New Roman"/>
          <w:b w:val="0"/>
          <w:spacing w:val="-55"/>
          <w:w w:val="100"/>
          <w:u w:val="thick"/>
        </w:rPr>
        <w:t> </w:t>
      </w:r>
      <w:r>
        <w:rPr>
          <w:u w:val="thick"/>
        </w:rPr>
        <w:t>Three-Point Contact</w:t>
      </w:r>
    </w:p>
    <w:p>
      <w:pPr>
        <w:pStyle w:val="BodyText"/>
        <w:spacing w:before="9"/>
        <w:rPr>
          <w:b/>
          <w:sz w:val="13"/>
        </w:rPr>
      </w:pPr>
    </w:p>
    <w:p>
      <w:pPr>
        <w:pStyle w:val="BodyText"/>
        <w:spacing w:before="93"/>
        <w:ind w:left="840" w:right="480"/>
        <w:jc w:val="both"/>
      </w:pPr>
      <w:r>
        <w:rPr/>
        <w:t>Three-point</w:t>
      </w:r>
      <w:r>
        <w:rPr>
          <w:spacing w:val="-12"/>
        </w:rPr>
        <w:t> </w:t>
      </w:r>
      <w:r>
        <w:rPr/>
        <w:t>contact</w:t>
      </w:r>
      <w:r>
        <w:rPr>
          <w:spacing w:val="-12"/>
        </w:rPr>
        <w:t> </w:t>
      </w:r>
      <w:r>
        <w:rPr/>
        <w:t>shall</w:t>
      </w:r>
      <w:r>
        <w:rPr>
          <w:spacing w:val="-16"/>
        </w:rPr>
        <w:t> </w:t>
      </w:r>
      <w:r>
        <w:rPr/>
        <w:t>be</w:t>
      </w:r>
      <w:r>
        <w:rPr>
          <w:spacing w:val="-12"/>
        </w:rPr>
        <w:t> </w:t>
      </w:r>
      <w:r>
        <w:rPr/>
        <w:t>conducted</w:t>
      </w:r>
      <w:r>
        <w:rPr>
          <w:spacing w:val="-14"/>
        </w:rPr>
        <w:t> </w:t>
      </w:r>
      <w:r>
        <w:rPr/>
        <w:t>on</w:t>
      </w:r>
      <w:r>
        <w:rPr>
          <w:spacing w:val="-12"/>
        </w:rPr>
        <w:t> </w:t>
      </w:r>
      <w:r>
        <w:rPr/>
        <w:t>all</w:t>
      </w:r>
      <w:r>
        <w:rPr>
          <w:spacing w:val="-16"/>
        </w:rPr>
        <w:t> </w:t>
      </w:r>
      <w:r>
        <w:rPr/>
        <w:t>claims</w:t>
      </w:r>
      <w:r>
        <w:rPr>
          <w:spacing w:val="-11"/>
        </w:rPr>
        <w:t> </w:t>
      </w:r>
      <w:r>
        <w:rPr/>
        <w:t>with;</w:t>
      </w:r>
      <w:r>
        <w:rPr>
          <w:spacing w:val="-13"/>
        </w:rPr>
        <w:t> </w:t>
      </w:r>
      <w:r>
        <w:rPr/>
        <w:t>the</w:t>
      </w:r>
      <w:r>
        <w:rPr>
          <w:spacing w:val="-12"/>
        </w:rPr>
        <w:t> </w:t>
      </w:r>
      <w:r>
        <w:rPr/>
        <w:t>non-represented</w:t>
      </w:r>
      <w:r>
        <w:rPr>
          <w:spacing w:val="-11"/>
        </w:rPr>
        <w:t> </w:t>
      </w:r>
      <w:r>
        <w:rPr/>
        <w:t>injured</w:t>
      </w:r>
      <w:r>
        <w:rPr>
          <w:spacing w:val="-12"/>
        </w:rPr>
        <w:t> </w:t>
      </w:r>
      <w:r>
        <w:rPr/>
        <w:t>worker, employer</w:t>
      </w:r>
      <w:r>
        <w:rPr>
          <w:spacing w:val="-15"/>
        </w:rPr>
        <w:t> </w:t>
      </w:r>
      <w:r>
        <w:rPr/>
        <w:t>representative</w:t>
      </w:r>
      <w:r>
        <w:rPr>
          <w:spacing w:val="-15"/>
        </w:rPr>
        <w:t> </w:t>
      </w:r>
      <w:r>
        <w:rPr/>
        <w:t>and</w:t>
      </w:r>
      <w:r>
        <w:rPr>
          <w:spacing w:val="-15"/>
        </w:rPr>
        <w:t> </w:t>
      </w:r>
      <w:r>
        <w:rPr/>
        <w:t>treating</w:t>
      </w:r>
      <w:r>
        <w:rPr>
          <w:spacing w:val="-15"/>
        </w:rPr>
        <w:t> </w:t>
      </w:r>
      <w:r>
        <w:rPr/>
        <w:t>physician.</w:t>
      </w:r>
      <w:r>
        <w:rPr>
          <w:spacing w:val="-15"/>
        </w:rPr>
        <w:t> </w:t>
      </w:r>
      <w:r>
        <w:rPr/>
        <w:t>This</w:t>
      </w:r>
      <w:r>
        <w:rPr>
          <w:spacing w:val="-17"/>
        </w:rPr>
        <w:t> </w:t>
      </w:r>
      <w:r>
        <w:rPr/>
        <w:t>contact</w:t>
      </w:r>
      <w:r>
        <w:rPr>
          <w:spacing w:val="-17"/>
        </w:rPr>
        <w:t> </w:t>
      </w:r>
      <w:r>
        <w:rPr/>
        <w:t>should</w:t>
      </w:r>
      <w:r>
        <w:rPr>
          <w:spacing w:val="-17"/>
        </w:rPr>
        <w:t> </w:t>
      </w:r>
      <w:r>
        <w:rPr/>
        <w:t>be</w:t>
      </w:r>
      <w:r>
        <w:rPr>
          <w:spacing w:val="-15"/>
        </w:rPr>
        <w:t> </w:t>
      </w:r>
      <w:r>
        <w:rPr/>
        <w:t>completed</w:t>
      </w:r>
      <w:r>
        <w:rPr>
          <w:spacing w:val="-15"/>
        </w:rPr>
        <w:t> </w:t>
      </w:r>
      <w:r>
        <w:rPr/>
        <w:t>within</w:t>
      </w:r>
      <w:r>
        <w:rPr>
          <w:spacing w:val="-17"/>
        </w:rPr>
        <w:t> </w:t>
      </w:r>
      <w:r>
        <w:rPr/>
        <w:t>three working days of receipt of the claim by the TPA. If a nurse case manager is assigned to the claim, initial physician contact may be conducted by either the claims examiner or the nurse case</w:t>
      </w:r>
      <w:r>
        <w:rPr>
          <w:spacing w:val="-4"/>
        </w:rPr>
        <w:t> </w:t>
      </w:r>
      <w:r>
        <w:rPr/>
        <w:t>manager.</w:t>
      </w:r>
      <w:r>
        <w:rPr>
          <w:spacing w:val="-6"/>
        </w:rPr>
        <w:t> </w:t>
      </w:r>
      <w:r>
        <w:rPr/>
        <w:t>This</w:t>
      </w:r>
      <w:r>
        <w:rPr>
          <w:spacing w:val="-3"/>
        </w:rPr>
        <w:t> </w:t>
      </w:r>
      <w:r>
        <w:rPr/>
        <w:t>initial</w:t>
      </w:r>
      <w:r>
        <w:rPr>
          <w:spacing w:val="-4"/>
        </w:rPr>
        <w:t> </w:t>
      </w:r>
      <w:r>
        <w:rPr/>
        <w:t>contact</w:t>
      </w:r>
      <w:r>
        <w:rPr>
          <w:spacing w:val="-4"/>
        </w:rPr>
        <w:t> </w:t>
      </w:r>
      <w:r>
        <w:rPr/>
        <w:t>should</w:t>
      </w:r>
      <w:r>
        <w:rPr>
          <w:spacing w:val="-4"/>
        </w:rPr>
        <w:t> </w:t>
      </w:r>
      <w:r>
        <w:rPr/>
        <w:t>be</w:t>
      </w:r>
      <w:r>
        <w:rPr>
          <w:spacing w:val="-4"/>
        </w:rPr>
        <w:t> </w:t>
      </w:r>
      <w:r>
        <w:rPr/>
        <w:t>substantive</w:t>
      </w:r>
      <w:r>
        <w:rPr>
          <w:spacing w:val="-3"/>
        </w:rPr>
        <w:t> </w:t>
      </w:r>
      <w:r>
        <w:rPr/>
        <w:t>and</w:t>
      </w:r>
      <w:r>
        <w:rPr>
          <w:spacing w:val="-4"/>
        </w:rPr>
        <w:t> </w:t>
      </w:r>
      <w:r>
        <w:rPr/>
        <w:t>clearly</w:t>
      </w:r>
      <w:r>
        <w:rPr>
          <w:spacing w:val="-5"/>
        </w:rPr>
        <w:t> </w:t>
      </w:r>
      <w:r>
        <w:rPr/>
        <w:t>documented</w:t>
      </w:r>
      <w:r>
        <w:rPr>
          <w:spacing w:val="-3"/>
        </w:rPr>
        <w:t> </w:t>
      </w:r>
      <w:r>
        <w:rPr/>
        <w:t>in</w:t>
      </w:r>
      <w:r>
        <w:rPr>
          <w:spacing w:val="-5"/>
        </w:rPr>
        <w:t> </w:t>
      </w:r>
      <w:r>
        <w:rPr/>
        <w:t>the</w:t>
      </w:r>
      <w:r>
        <w:rPr>
          <w:spacing w:val="-4"/>
        </w:rPr>
        <w:t> </w:t>
      </w:r>
      <w:r>
        <w:rPr/>
        <w:t>claim file.</w:t>
      </w:r>
      <w:r>
        <w:rPr>
          <w:spacing w:val="-12"/>
        </w:rPr>
        <w:t> </w:t>
      </w:r>
      <w:r>
        <w:rPr/>
        <w:t>In</w:t>
      </w:r>
      <w:r>
        <w:rPr>
          <w:spacing w:val="-12"/>
        </w:rPr>
        <w:t> </w:t>
      </w:r>
      <w:r>
        <w:rPr/>
        <w:t>the</w:t>
      </w:r>
      <w:r>
        <w:rPr>
          <w:spacing w:val="-12"/>
        </w:rPr>
        <w:t> </w:t>
      </w:r>
      <w:r>
        <w:rPr/>
        <w:t>event</w:t>
      </w:r>
      <w:r>
        <w:rPr>
          <w:spacing w:val="-11"/>
        </w:rPr>
        <w:t> </w:t>
      </w:r>
      <w:r>
        <w:rPr/>
        <w:t>a</w:t>
      </w:r>
      <w:r>
        <w:rPr>
          <w:spacing w:val="-11"/>
        </w:rPr>
        <w:t> </w:t>
      </w:r>
      <w:r>
        <w:rPr/>
        <w:t>party</w:t>
      </w:r>
      <w:r>
        <w:rPr>
          <w:spacing w:val="-15"/>
        </w:rPr>
        <w:t> </w:t>
      </w:r>
      <w:r>
        <w:rPr/>
        <w:t>is</w:t>
      </w:r>
      <w:r>
        <w:rPr>
          <w:spacing w:val="-11"/>
        </w:rPr>
        <w:t> </w:t>
      </w:r>
      <w:r>
        <w:rPr/>
        <w:t>non-responsive,</w:t>
      </w:r>
      <w:r>
        <w:rPr>
          <w:spacing w:val="-8"/>
        </w:rPr>
        <w:t> </w:t>
      </w:r>
      <w:r>
        <w:rPr/>
        <w:t>there</w:t>
      </w:r>
      <w:r>
        <w:rPr>
          <w:spacing w:val="-11"/>
        </w:rPr>
        <w:t> </w:t>
      </w:r>
      <w:r>
        <w:rPr/>
        <w:t>shall</w:t>
      </w:r>
      <w:r>
        <w:rPr>
          <w:spacing w:val="-13"/>
        </w:rPr>
        <w:t> </w:t>
      </w:r>
      <w:r>
        <w:rPr/>
        <w:t>be</w:t>
      </w:r>
      <w:r>
        <w:rPr>
          <w:spacing w:val="-10"/>
        </w:rPr>
        <w:t> </w:t>
      </w:r>
      <w:r>
        <w:rPr/>
        <w:t>evidence</w:t>
      </w:r>
      <w:r>
        <w:rPr>
          <w:spacing w:val="-11"/>
        </w:rPr>
        <w:t> </w:t>
      </w:r>
      <w:r>
        <w:rPr/>
        <w:t>of</w:t>
      </w:r>
      <w:r>
        <w:rPr>
          <w:spacing w:val="-8"/>
        </w:rPr>
        <w:t> </w:t>
      </w:r>
      <w:r>
        <w:rPr/>
        <w:t>at</w:t>
      </w:r>
      <w:r>
        <w:rPr>
          <w:spacing w:val="-11"/>
        </w:rPr>
        <w:t> </w:t>
      </w:r>
      <w:r>
        <w:rPr/>
        <w:t>least</w:t>
      </w:r>
      <w:r>
        <w:rPr>
          <w:spacing w:val="-12"/>
        </w:rPr>
        <w:t> </w:t>
      </w:r>
      <w:r>
        <w:rPr/>
        <w:t>two</w:t>
      </w:r>
      <w:r>
        <w:rPr>
          <w:spacing w:val="-11"/>
        </w:rPr>
        <w:t> </w:t>
      </w:r>
      <w:r>
        <w:rPr/>
        <w:t>documented attempts to reach the individual. If no response after the second attempt the TPA is required to</w:t>
      </w:r>
      <w:r>
        <w:rPr>
          <w:spacing w:val="-16"/>
        </w:rPr>
        <w:t> </w:t>
      </w:r>
      <w:r>
        <w:rPr/>
        <w:t>contact</w:t>
      </w:r>
      <w:r>
        <w:rPr>
          <w:spacing w:val="-17"/>
        </w:rPr>
        <w:t> </w:t>
      </w:r>
      <w:r>
        <w:rPr/>
        <w:t>the</w:t>
      </w:r>
      <w:r>
        <w:rPr>
          <w:spacing w:val="-19"/>
        </w:rPr>
        <w:t> </w:t>
      </w:r>
      <w:r>
        <w:rPr/>
        <w:t>City’s</w:t>
      </w:r>
      <w:r>
        <w:rPr>
          <w:spacing w:val="-17"/>
        </w:rPr>
        <w:t> </w:t>
      </w:r>
      <w:r>
        <w:rPr/>
        <w:t>workers’</w:t>
      </w:r>
      <w:r>
        <w:rPr>
          <w:spacing w:val="-17"/>
        </w:rPr>
        <w:t> </w:t>
      </w:r>
      <w:r>
        <w:rPr/>
        <w:t>compensation</w:t>
      </w:r>
      <w:r>
        <w:rPr>
          <w:spacing w:val="-19"/>
        </w:rPr>
        <w:t> </w:t>
      </w:r>
      <w:r>
        <w:rPr/>
        <w:t>representative</w:t>
      </w:r>
      <w:r>
        <w:rPr>
          <w:spacing w:val="-17"/>
        </w:rPr>
        <w:t> </w:t>
      </w:r>
      <w:r>
        <w:rPr/>
        <w:t>for</w:t>
      </w:r>
      <w:r>
        <w:rPr>
          <w:spacing w:val="-17"/>
        </w:rPr>
        <w:t> </w:t>
      </w:r>
      <w:r>
        <w:rPr/>
        <w:t>other</w:t>
      </w:r>
      <w:r>
        <w:rPr>
          <w:spacing w:val="-16"/>
        </w:rPr>
        <w:t> </w:t>
      </w:r>
      <w:r>
        <w:rPr/>
        <w:t>possible</w:t>
      </w:r>
      <w:r>
        <w:rPr>
          <w:spacing w:val="-16"/>
        </w:rPr>
        <w:t> </w:t>
      </w:r>
      <w:r>
        <w:rPr/>
        <w:t>numbers</w:t>
      </w:r>
      <w:r>
        <w:rPr>
          <w:spacing w:val="-15"/>
        </w:rPr>
        <w:t> </w:t>
      </w:r>
      <w:r>
        <w:rPr/>
        <w:t>or</w:t>
      </w:r>
      <w:r>
        <w:rPr>
          <w:spacing w:val="-15"/>
        </w:rPr>
        <w:t> </w:t>
      </w:r>
      <w:r>
        <w:rPr/>
        <w:t>other forms of reaching the employee.</w:t>
      </w:r>
    </w:p>
    <w:p>
      <w:pPr>
        <w:pStyle w:val="BodyText"/>
        <w:spacing w:before="10"/>
        <w:rPr>
          <w:sz w:val="13"/>
        </w:rPr>
      </w:pPr>
    </w:p>
    <w:p>
      <w:pPr>
        <w:pStyle w:val="Heading4"/>
        <w:numPr>
          <w:ilvl w:val="0"/>
          <w:numId w:val="1"/>
        </w:numPr>
        <w:tabs>
          <w:tab w:pos="840" w:val="left" w:leader="none"/>
        </w:tabs>
        <w:spacing w:line="240" w:lineRule="auto" w:before="93" w:after="0"/>
        <w:ind w:left="840" w:right="0" w:hanging="360"/>
        <w:jc w:val="left"/>
      </w:pPr>
      <w:r>
        <w:rPr>
          <w:spacing w:val="-147"/>
          <w:u w:val="thick"/>
        </w:rPr>
        <w:t>E</w:t>
      </w:r>
      <w:r>
        <w:rPr>
          <w:spacing w:val="87"/>
        </w:rPr>
        <w:t> </w:t>
      </w:r>
      <w:r>
        <w:rPr>
          <w:u w:val="thick"/>
        </w:rPr>
        <w:t>mployer Contact</w:t>
      </w:r>
    </w:p>
    <w:p>
      <w:pPr>
        <w:pStyle w:val="BodyText"/>
        <w:spacing w:before="11"/>
        <w:rPr>
          <w:b/>
          <w:sz w:val="13"/>
        </w:rPr>
      </w:pPr>
    </w:p>
    <w:p>
      <w:pPr>
        <w:pStyle w:val="BodyText"/>
        <w:spacing w:before="93"/>
        <w:ind w:left="840" w:right="485"/>
        <w:jc w:val="both"/>
      </w:pPr>
      <w:r>
        <w:rPr/>
        <w:t>The TPA shall request the Employer’s Report of Occupational Injury or Illness form (DWC-1) within two business days when or if notification of any injury or illness by any source is received first.</w:t>
      </w:r>
    </w:p>
    <w:p>
      <w:pPr>
        <w:pStyle w:val="BodyText"/>
        <w:spacing w:before="1"/>
      </w:pPr>
    </w:p>
    <w:p>
      <w:pPr>
        <w:pStyle w:val="BodyText"/>
        <w:ind w:left="840" w:right="478"/>
        <w:jc w:val="both"/>
      </w:pPr>
      <w:r>
        <w:rPr/>
        <w:t>If the DWC-1 has not been received by the TPA within two business days after receiving the Employer’s Report of Occupational Injury or Illness, the examiner will contact the City to ensure the DWC-1 was given to the employee within one business day of knowledge of the injury. If a DWC-1 has not been given to the injured employee, the TPA shall immediately send the DWC-1 directly to the employee.</w:t>
      </w:r>
    </w:p>
    <w:p>
      <w:pPr>
        <w:spacing w:after="0"/>
        <w:jc w:val="both"/>
        <w:sectPr>
          <w:pgSz w:w="12240" w:h="15840"/>
          <w:pgMar w:header="0" w:footer="1248" w:top="740" w:bottom="1440" w:left="960" w:right="960"/>
        </w:sectPr>
      </w:pPr>
    </w:p>
    <w:p>
      <w:pPr>
        <w:pStyle w:val="BodyText"/>
        <w:spacing w:before="71"/>
        <w:ind w:left="840" w:right="481"/>
        <w:jc w:val="both"/>
      </w:pPr>
      <w:r>
        <w:rPr/>
        <w:pict>
          <v:group style="position:absolute;margin-left:26.160002pt;margin-top:26.160002pt;width:561.85pt;height:741.85pt;mso-position-horizontal-relative:page;mso-position-vertical-relative:page;z-index:-253981696" coordorigin="523,523" coordsize="11237,14837">
            <v:line style="position:absolute" from="523,545" to="11674,545" stroked="true" strokeweight="2.159998pt" strokecolor="#000000">
              <v:stroke dashstyle="solid"/>
            </v:line>
            <v:rect style="position:absolute;left:11673;top:523;width:44;height:44" filled="true" fillcolor="#000000" stroked="false">
              <v:fill type="solid"/>
            </v:rect>
            <v:line style="position:absolute" from="545,566" to="545,15317" stroked="true" strokeweight="2.159998pt" strokecolor="#000000">
              <v:stroke dashstyle="solid"/>
            </v:line>
            <v:line style="position:absolute" from="11717,566" to="11717,15274" stroked="true" strokeweight="4.320008pt" strokecolor="#000000">
              <v:stroke dashstyle="solid"/>
            </v:line>
            <v:line style="position:absolute" from="566,15317" to="11674,15317" stroked="true" strokeweight="4.320008pt" strokecolor="#000000">
              <v:stroke dashstyle="solid"/>
            </v:line>
            <v:shape style="position:absolute;left:11673;top:15273;width:87;height:87" coordorigin="11674,15274" coordsize="87,87" path="m11760,15274l11717,15274,11674,15274,11674,15317,11674,15360,11717,15360,11760,15360,11760,15317,11760,15274e" filled="true" fillcolor="#000000" stroked="false">
              <v:path arrowok="t"/>
              <v:fill type="solid"/>
            </v:shape>
            <w10:wrap type="none"/>
          </v:group>
        </w:pict>
      </w:r>
      <w:r>
        <w:rPr/>
        <w:t>The TPA shall contact the City within two business days of receipt of notice of a claim by</w:t>
      </w:r>
      <w:r>
        <w:rPr>
          <w:spacing w:val="-35"/>
        </w:rPr>
        <w:t> </w:t>
      </w:r>
      <w:r>
        <w:rPr/>
        <w:t>any source to conduct an initial and meaningful investigation. Such contact with the City shall be clearly documented in the computer</w:t>
      </w:r>
      <w:r>
        <w:rPr>
          <w:spacing w:val="-1"/>
        </w:rPr>
        <w:t> </w:t>
      </w:r>
      <w:r>
        <w:rPr/>
        <w:t>system.</w:t>
      </w:r>
    </w:p>
    <w:p>
      <w:pPr>
        <w:pStyle w:val="BodyText"/>
        <w:spacing w:before="10"/>
        <w:rPr>
          <w:sz w:val="21"/>
        </w:rPr>
      </w:pPr>
    </w:p>
    <w:p>
      <w:pPr>
        <w:pStyle w:val="BodyText"/>
        <w:ind w:left="840" w:right="481"/>
        <w:jc w:val="both"/>
      </w:pPr>
      <w:r>
        <w:rPr/>
        <w:t>When a claim reaches one-half of the City’s self-insured retention (SIR), the TPA shall</w:t>
      </w:r>
      <w:r>
        <w:rPr>
          <w:spacing w:val="-28"/>
        </w:rPr>
        <w:t> </w:t>
      </w:r>
      <w:r>
        <w:rPr/>
        <w:t>report to the City every ninety calendar days regarding the status of the claim. Such report shall include</w:t>
      </w:r>
      <w:r>
        <w:rPr>
          <w:spacing w:val="-12"/>
        </w:rPr>
        <w:t> </w:t>
      </w:r>
      <w:r>
        <w:rPr/>
        <w:t>a</w:t>
      </w:r>
      <w:r>
        <w:rPr>
          <w:spacing w:val="-10"/>
        </w:rPr>
        <w:t> </w:t>
      </w:r>
      <w:r>
        <w:rPr/>
        <w:t>status</w:t>
      </w:r>
      <w:r>
        <w:rPr>
          <w:spacing w:val="-10"/>
        </w:rPr>
        <w:t> </w:t>
      </w:r>
      <w:r>
        <w:rPr/>
        <w:t>of</w:t>
      </w:r>
      <w:r>
        <w:rPr>
          <w:spacing w:val="-12"/>
        </w:rPr>
        <w:t> </w:t>
      </w:r>
      <w:r>
        <w:rPr/>
        <w:t>the</w:t>
      </w:r>
      <w:r>
        <w:rPr>
          <w:spacing w:val="-10"/>
        </w:rPr>
        <w:t> </w:t>
      </w:r>
      <w:r>
        <w:rPr/>
        <w:t>claim,</w:t>
      </w:r>
      <w:r>
        <w:rPr>
          <w:spacing w:val="-11"/>
        </w:rPr>
        <w:t> </w:t>
      </w:r>
      <w:r>
        <w:rPr/>
        <w:t>the</w:t>
      </w:r>
      <w:r>
        <w:rPr>
          <w:spacing w:val="-11"/>
        </w:rPr>
        <w:t> </w:t>
      </w:r>
      <w:r>
        <w:rPr/>
        <w:t>examiner’s</w:t>
      </w:r>
      <w:r>
        <w:rPr>
          <w:spacing w:val="-10"/>
        </w:rPr>
        <w:t> </w:t>
      </w:r>
      <w:r>
        <w:rPr/>
        <w:t>plan</w:t>
      </w:r>
      <w:r>
        <w:rPr>
          <w:spacing w:val="-10"/>
        </w:rPr>
        <w:t> </w:t>
      </w:r>
      <w:r>
        <w:rPr/>
        <w:t>of</w:t>
      </w:r>
      <w:r>
        <w:rPr>
          <w:spacing w:val="-7"/>
        </w:rPr>
        <w:t> </w:t>
      </w:r>
      <w:r>
        <w:rPr/>
        <w:t>action</w:t>
      </w:r>
      <w:r>
        <w:rPr>
          <w:spacing w:val="-13"/>
        </w:rPr>
        <w:t> </w:t>
      </w:r>
      <w:r>
        <w:rPr/>
        <w:t>for</w:t>
      </w:r>
      <w:r>
        <w:rPr>
          <w:spacing w:val="-10"/>
        </w:rPr>
        <w:t> </w:t>
      </w:r>
      <w:r>
        <w:rPr/>
        <w:t>future</w:t>
      </w:r>
      <w:r>
        <w:rPr>
          <w:spacing w:val="-11"/>
        </w:rPr>
        <w:t> </w:t>
      </w:r>
      <w:r>
        <w:rPr/>
        <w:t>handling</w:t>
      </w:r>
      <w:r>
        <w:rPr>
          <w:spacing w:val="-9"/>
        </w:rPr>
        <w:t> </w:t>
      </w:r>
      <w:r>
        <w:rPr/>
        <w:t>of</w:t>
      </w:r>
      <w:r>
        <w:rPr>
          <w:spacing w:val="-10"/>
        </w:rPr>
        <w:t> </w:t>
      </w:r>
      <w:r>
        <w:rPr/>
        <w:t>the</w:t>
      </w:r>
      <w:r>
        <w:rPr>
          <w:spacing w:val="-12"/>
        </w:rPr>
        <w:t> </w:t>
      </w:r>
      <w:r>
        <w:rPr/>
        <w:t>claim,</w:t>
      </w:r>
      <w:r>
        <w:rPr>
          <w:spacing w:val="-10"/>
        </w:rPr>
        <w:t> </w:t>
      </w:r>
      <w:r>
        <w:rPr/>
        <w:t>and the current paid-to-date and total incurred amounts listed by indemnity, vocational rehabilitation, medical and expense</w:t>
      </w:r>
      <w:r>
        <w:rPr>
          <w:spacing w:val="-2"/>
        </w:rPr>
        <w:t> </w:t>
      </w:r>
      <w:r>
        <w:rPr/>
        <w:t>categories.</w:t>
      </w:r>
    </w:p>
    <w:p>
      <w:pPr>
        <w:pStyle w:val="BodyText"/>
        <w:spacing w:before="1"/>
      </w:pPr>
    </w:p>
    <w:p>
      <w:pPr>
        <w:pStyle w:val="BodyText"/>
        <w:ind w:left="840" w:right="482"/>
        <w:jc w:val="both"/>
      </w:pPr>
      <w:r>
        <w:rPr/>
        <w:t>The TPA will provide on-site (or virtual) file reviews on a quarterly and annual basis. Other periodic on-site (or virtual) files reviews may be scheduled based upon the needs of the City of Escondido. The TPA is expected to have its claims staff and supervisory personnel attend claims reviews at no charge to the City.</w:t>
      </w:r>
    </w:p>
    <w:p>
      <w:pPr>
        <w:pStyle w:val="BodyText"/>
      </w:pPr>
    </w:p>
    <w:p>
      <w:pPr>
        <w:pStyle w:val="BodyText"/>
        <w:ind w:left="840" w:right="479"/>
        <w:jc w:val="both"/>
      </w:pPr>
      <w:r>
        <w:rPr/>
        <w:t>Returned phone calls and email to the City will be accomplished no later than one business day - same day is desired.</w:t>
      </w:r>
    </w:p>
    <w:p>
      <w:pPr>
        <w:pStyle w:val="BodyText"/>
        <w:spacing w:before="11"/>
        <w:rPr>
          <w:sz w:val="21"/>
        </w:rPr>
      </w:pPr>
    </w:p>
    <w:p>
      <w:pPr>
        <w:pStyle w:val="BodyText"/>
        <w:ind w:left="840" w:right="478"/>
        <w:jc w:val="both"/>
      </w:pPr>
      <w:r>
        <w:rPr/>
        <w:t>The</w:t>
      </w:r>
      <w:r>
        <w:rPr>
          <w:spacing w:val="-11"/>
        </w:rPr>
        <w:t> </w:t>
      </w:r>
      <w:r>
        <w:rPr/>
        <w:t>TPA</w:t>
      </w:r>
      <w:r>
        <w:rPr>
          <w:spacing w:val="-8"/>
        </w:rPr>
        <w:t> </w:t>
      </w:r>
      <w:r>
        <w:rPr/>
        <w:t>shall</w:t>
      </w:r>
      <w:r>
        <w:rPr>
          <w:spacing w:val="-10"/>
        </w:rPr>
        <w:t> </w:t>
      </w:r>
      <w:r>
        <w:rPr/>
        <w:t>notify</w:t>
      </w:r>
      <w:r>
        <w:rPr>
          <w:spacing w:val="-10"/>
        </w:rPr>
        <w:t> </w:t>
      </w:r>
      <w:r>
        <w:rPr/>
        <w:t>the</w:t>
      </w:r>
      <w:r>
        <w:rPr>
          <w:spacing w:val="-10"/>
        </w:rPr>
        <w:t> </w:t>
      </w:r>
      <w:r>
        <w:rPr/>
        <w:t>City</w:t>
      </w:r>
      <w:r>
        <w:rPr>
          <w:spacing w:val="-8"/>
        </w:rPr>
        <w:t> </w:t>
      </w:r>
      <w:r>
        <w:rPr/>
        <w:t>immediately</w:t>
      </w:r>
      <w:r>
        <w:rPr>
          <w:spacing w:val="-9"/>
        </w:rPr>
        <w:t> </w:t>
      </w:r>
      <w:r>
        <w:rPr/>
        <w:t>upon</w:t>
      </w:r>
      <w:r>
        <w:rPr>
          <w:spacing w:val="-8"/>
        </w:rPr>
        <w:t> </w:t>
      </w:r>
      <w:r>
        <w:rPr/>
        <w:t>notice</w:t>
      </w:r>
      <w:r>
        <w:rPr>
          <w:spacing w:val="-8"/>
        </w:rPr>
        <w:t> </w:t>
      </w:r>
      <w:r>
        <w:rPr/>
        <w:t>of</w:t>
      </w:r>
      <w:r>
        <w:rPr>
          <w:spacing w:val="-3"/>
        </w:rPr>
        <w:t> </w:t>
      </w:r>
      <w:r>
        <w:rPr/>
        <w:t>any</w:t>
      </w:r>
      <w:r>
        <w:rPr>
          <w:spacing w:val="-10"/>
        </w:rPr>
        <w:t> </w:t>
      </w:r>
      <w:r>
        <w:rPr/>
        <w:t>hospitalization,</w:t>
      </w:r>
      <w:r>
        <w:rPr>
          <w:spacing w:val="-8"/>
        </w:rPr>
        <w:t> </w:t>
      </w:r>
      <w:r>
        <w:rPr/>
        <w:t>death,</w:t>
      </w:r>
      <w:r>
        <w:rPr>
          <w:spacing w:val="-5"/>
        </w:rPr>
        <w:t> </w:t>
      </w:r>
      <w:r>
        <w:rPr/>
        <w:t>or</w:t>
      </w:r>
      <w:r>
        <w:rPr>
          <w:spacing w:val="-8"/>
        </w:rPr>
        <w:t> </w:t>
      </w:r>
      <w:r>
        <w:rPr/>
        <w:t>serious injury / illness because of the work injury regardless of the date of injury. Such contact with the</w:t>
      </w:r>
      <w:r>
        <w:rPr>
          <w:spacing w:val="-6"/>
        </w:rPr>
        <w:t> </w:t>
      </w:r>
      <w:r>
        <w:rPr/>
        <w:t>City</w:t>
      </w:r>
      <w:r>
        <w:rPr>
          <w:spacing w:val="-8"/>
        </w:rPr>
        <w:t> </w:t>
      </w:r>
      <w:r>
        <w:rPr/>
        <w:t>shall</w:t>
      </w:r>
      <w:r>
        <w:rPr>
          <w:spacing w:val="-8"/>
        </w:rPr>
        <w:t> </w:t>
      </w:r>
      <w:r>
        <w:rPr/>
        <w:t>be</w:t>
      </w:r>
      <w:r>
        <w:rPr>
          <w:spacing w:val="-7"/>
        </w:rPr>
        <w:t> </w:t>
      </w:r>
      <w:r>
        <w:rPr/>
        <w:t>clearly</w:t>
      </w:r>
      <w:r>
        <w:rPr>
          <w:spacing w:val="-8"/>
        </w:rPr>
        <w:t> </w:t>
      </w:r>
      <w:r>
        <w:rPr/>
        <w:t>documented</w:t>
      </w:r>
      <w:r>
        <w:rPr>
          <w:spacing w:val="-7"/>
        </w:rPr>
        <w:t> </w:t>
      </w:r>
      <w:r>
        <w:rPr/>
        <w:t>in</w:t>
      </w:r>
      <w:r>
        <w:rPr>
          <w:spacing w:val="-7"/>
        </w:rPr>
        <w:t> </w:t>
      </w:r>
      <w:r>
        <w:rPr/>
        <w:t>the</w:t>
      </w:r>
      <w:r>
        <w:rPr>
          <w:spacing w:val="-8"/>
        </w:rPr>
        <w:t> </w:t>
      </w:r>
      <w:r>
        <w:rPr/>
        <w:t>computer</w:t>
      </w:r>
      <w:r>
        <w:rPr>
          <w:spacing w:val="-4"/>
        </w:rPr>
        <w:t> </w:t>
      </w:r>
      <w:r>
        <w:rPr/>
        <w:t>system.</w:t>
      </w:r>
      <w:r>
        <w:rPr>
          <w:spacing w:val="45"/>
        </w:rPr>
        <w:t> </w:t>
      </w:r>
      <w:r>
        <w:rPr/>
        <w:t>The</w:t>
      </w:r>
      <w:r>
        <w:rPr>
          <w:spacing w:val="-7"/>
        </w:rPr>
        <w:t> </w:t>
      </w:r>
      <w:r>
        <w:rPr/>
        <w:t>City</w:t>
      </w:r>
      <w:r>
        <w:rPr>
          <w:spacing w:val="-8"/>
        </w:rPr>
        <w:t> </w:t>
      </w:r>
      <w:r>
        <w:rPr/>
        <w:t>will</w:t>
      </w:r>
      <w:r>
        <w:rPr>
          <w:spacing w:val="-5"/>
        </w:rPr>
        <w:t> </w:t>
      </w:r>
      <w:r>
        <w:rPr/>
        <w:t>contact</w:t>
      </w:r>
      <w:r>
        <w:rPr>
          <w:spacing w:val="-6"/>
        </w:rPr>
        <w:t> </w:t>
      </w:r>
      <w:r>
        <w:rPr/>
        <w:t>Cal</w:t>
      </w:r>
      <w:r>
        <w:rPr>
          <w:spacing w:val="-8"/>
        </w:rPr>
        <w:t> </w:t>
      </w:r>
      <w:r>
        <w:rPr/>
        <w:t>OSHA Immediately</w:t>
      </w:r>
      <w:r>
        <w:rPr>
          <w:spacing w:val="26"/>
        </w:rPr>
        <w:t> </w:t>
      </w:r>
      <w:r>
        <w:rPr/>
        <w:t>or</w:t>
      </w:r>
      <w:r>
        <w:rPr>
          <w:spacing w:val="29"/>
        </w:rPr>
        <w:t> </w:t>
      </w:r>
      <w:r>
        <w:rPr/>
        <w:t>no</w:t>
      </w:r>
      <w:r>
        <w:rPr>
          <w:spacing w:val="26"/>
        </w:rPr>
        <w:t> </w:t>
      </w:r>
      <w:r>
        <w:rPr/>
        <w:t>longer</w:t>
      </w:r>
      <w:r>
        <w:rPr>
          <w:spacing w:val="28"/>
        </w:rPr>
        <w:t> </w:t>
      </w:r>
      <w:r>
        <w:rPr/>
        <w:t>than</w:t>
      </w:r>
      <w:r>
        <w:rPr>
          <w:spacing w:val="26"/>
        </w:rPr>
        <w:t> </w:t>
      </w:r>
      <w:r>
        <w:rPr/>
        <w:t>8</w:t>
      </w:r>
      <w:r>
        <w:rPr>
          <w:spacing w:val="30"/>
        </w:rPr>
        <w:t> </w:t>
      </w:r>
      <w:r>
        <w:rPr/>
        <w:t>hours</w:t>
      </w:r>
      <w:r>
        <w:rPr>
          <w:spacing w:val="28"/>
        </w:rPr>
        <w:t> </w:t>
      </w:r>
      <w:r>
        <w:rPr/>
        <w:t>after</w:t>
      </w:r>
      <w:r>
        <w:rPr>
          <w:spacing w:val="27"/>
        </w:rPr>
        <w:t> </w:t>
      </w:r>
      <w:r>
        <w:rPr/>
        <w:t>the</w:t>
      </w:r>
      <w:r>
        <w:rPr>
          <w:spacing w:val="26"/>
        </w:rPr>
        <w:t> </w:t>
      </w:r>
      <w:r>
        <w:rPr/>
        <w:t>City</w:t>
      </w:r>
      <w:r>
        <w:rPr>
          <w:spacing w:val="26"/>
        </w:rPr>
        <w:t> </w:t>
      </w:r>
      <w:r>
        <w:rPr/>
        <w:t>knows</w:t>
      </w:r>
      <w:r>
        <w:rPr>
          <w:spacing w:val="28"/>
        </w:rPr>
        <w:t> </w:t>
      </w:r>
      <w:r>
        <w:rPr/>
        <w:t>of</w:t>
      </w:r>
      <w:r>
        <w:rPr>
          <w:spacing w:val="30"/>
        </w:rPr>
        <w:t> </w:t>
      </w:r>
      <w:r>
        <w:rPr/>
        <w:t>the</w:t>
      </w:r>
      <w:r>
        <w:rPr>
          <w:spacing w:val="27"/>
        </w:rPr>
        <w:t> </w:t>
      </w:r>
      <w:r>
        <w:rPr/>
        <w:t>death</w:t>
      </w:r>
      <w:r>
        <w:rPr>
          <w:spacing w:val="29"/>
        </w:rPr>
        <w:t> </w:t>
      </w:r>
      <w:r>
        <w:rPr/>
        <w:t>or</w:t>
      </w:r>
      <w:r>
        <w:rPr>
          <w:spacing w:val="27"/>
        </w:rPr>
        <w:t> </w:t>
      </w:r>
      <w:r>
        <w:rPr/>
        <w:t>serious</w:t>
      </w:r>
      <w:r>
        <w:rPr>
          <w:spacing w:val="28"/>
        </w:rPr>
        <w:t> </w:t>
      </w:r>
      <w:r>
        <w:rPr/>
        <w:t>injury</w:t>
      </w:r>
    </w:p>
    <w:p>
      <w:pPr>
        <w:pStyle w:val="BodyText"/>
        <w:spacing w:line="251" w:lineRule="exact"/>
        <w:ind w:left="840"/>
      </w:pPr>
      <w:r>
        <w:rPr/>
        <w:t>/illness.</w:t>
      </w:r>
    </w:p>
    <w:p>
      <w:pPr>
        <w:pStyle w:val="BodyText"/>
        <w:spacing w:before="11"/>
        <w:rPr>
          <w:sz w:val="13"/>
        </w:rPr>
      </w:pPr>
    </w:p>
    <w:p>
      <w:pPr>
        <w:pStyle w:val="Heading4"/>
        <w:numPr>
          <w:ilvl w:val="0"/>
          <w:numId w:val="1"/>
        </w:numPr>
        <w:tabs>
          <w:tab w:pos="840" w:val="left" w:leader="none"/>
        </w:tabs>
        <w:spacing w:line="240" w:lineRule="auto" w:before="93" w:after="0"/>
        <w:ind w:left="840" w:right="0" w:hanging="360"/>
        <w:jc w:val="left"/>
      </w:pPr>
      <w:r>
        <w:rPr>
          <w:spacing w:val="-147"/>
          <w:u w:val="thick"/>
        </w:rPr>
        <w:t>E</w:t>
      </w:r>
      <w:r>
        <w:rPr>
          <w:spacing w:val="87"/>
        </w:rPr>
        <w:t> </w:t>
      </w:r>
      <w:r>
        <w:rPr>
          <w:u w:val="thick"/>
        </w:rPr>
        <w:t>mployee</w:t>
      </w:r>
      <w:r>
        <w:rPr>
          <w:spacing w:val="1"/>
          <w:u w:val="thick"/>
        </w:rPr>
        <w:t> </w:t>
      </w:r>
      <w:r>
        <w:rPr>
          <w:u w:val="thick"/>
        </w:rPr>
        <w:t>Contact</w:t>
      </w:r>
    </w:p>
    <w:p>
      <w:pPr>
        <w:pStyle w:val="BodyText"/>
        <w:spacing w:before="11"/>
        <w:rPr>
          <w:b/>
          <w:sz w:val="13"/>
        </w:rPr>
      </w:pPr>
    </w:p>
    <w:p>
      <w:pPr>
        <w:pStyle w:val="BodyText"/>
        <w:spacing w:before="93"/>
        <w:ind w:left="840" w:right="481"/>
        <w:jc w:val="both"/>
      </w:pPr>
      <w:r>
        <w:rPr/>
        <w:t>In all non-litigated, lost-time cases, where the employee has not returned to work, telephone or personal contact will be established with the injured employee within two business days</w:t>
      </w:r>
      <w:r>
        <w:rPr>
          <w:spacing w:val="-28"/>
        </w:rPr>
        <w:t> </w:t>
      </w:r>
      <w:r>
        <w:rPr/>
        <w:t>of receipt of notice of claim. Such contact will continue as often as necessary, but at least monthly. Such contact with the employee shall be clearly documented in the computer system. The City will notify Cal OSHA within 8</w:t>
      </w:r>
      <w:r>
        <w:rPr>
          <w:spacing w:val="-9"/>
        </w:rPr>
        <w:t> </w:t>
      </w:r>
      <w:r>
        <w:rPr/>
        <w:t>hours.</w:t>
      </w:r>
    </w:p>
    <w:p>
      <w:pPr>
        <w:pStyle w:val="BodyText"/>
        <w:spacing w:before="1"/>
      </w:pPr>
    </w:p>
    <w:p>
      <w:pPr>
        <w:pStyle w:val="BodyText"/>
        <w:ind w:left="840" w:right="485"/>
        <w:jc w:val="both"/>
      </w:pPr>
      <w:r>
        <w:rPr/>
        <w:t>Returned phone calls to employees will be accomplished within one business day; same</w:t>
      </w:r>
      <w:r>
        <w:rPr>
          <w:spacing w:val="-27"/>
        </w:rPr>
        <w:t> </w:t>
      </w:r>
      <w:r>
        <w:rPr/>
        <w:t>day is preferable. All written correspondence from employees will be responded to within five calendar days of</w:t>
      </w:r>
      <w:r>
        <w:rPr>
          <w:spacing w:val="2"/>
        </w:rPr>
        <w:t> </w:t>
      </w:r>
      <w:r>
        <w:rPr/>
        <w:t>receipt.</w:t>
      </w:r>
    </w:p>
    <w:p>
      <w:pPr>
        <w:pStyle w:val="BodyText"/>
        <w:spacing w:before="9"/>
        <w:rPr>
          <w:sz w:val="13"/>
        </w:rPr>
      </w:pPr>
    </w:p>
    <w:p>
      <w:pPr>
        <w:pStyle w:val="Heading4"/>
        <w:numPr>
          <w:ilvl w:val="0"/>
          <w:numId w:val="1"/>
        </w:numPr>
        <w:tabs>
          <w:tab w:pos="840" w:val="left" w:leader="none"/>
        </w:tabs>
        <w:spacing w:line="240" w:lineRule="auto" w:before="93" w:after="0"/>
        <w:ind w:left="840" w:right="0" w:hanging="360"/>
        <w:jc w:val="left"/>
      </w:pPr>
      <w:r>
        <w:rPr>
          <w:spacing w:val="-160"/>
          <w:u w:val="thick"/>
        </w:rPr>
        <w:t>C</w:t>
      </w:r>
      <w:r>
        <w:rPr>
          <w:spacing w:val="100"/>
        </w:rPr>
        <w:t> </w:t>
      </w:r>
      <w:r>
        <w:rPr>
          <w:u w:val="thick"/>
        </w:rPr>
        <w:t>ompensability</w:t>
      </w:r>
    </w:p>
    <w:p>
      <w:pPr>
        <w:pStyle w:val="BodyText"/>
        <w:spacing w:before="11"/>
        <w:rPr>
          <w:b/>
          <w:sz w:val="13"/>
        </w:rPr>
      </w:pPr>
    </w:p>
    <w:p>
      <w:pPr>
        <w:pStyle w:val="BodyText"/>
        <w:spacing w:before="93"/>
        <w:ind w:left="840" w:right="482"/>
        <w:jc w:val="both"/>
      </w:pPr>
      <w:r>
        <w:rPr/>
        <w:t>The</w:t>
      </w:r>
      <w:r>
        <w:rPr>
          <w:spacing w:val="-13"/>
        </w:rPr>
        <w:t> </w:t>
      </w:r>
      <w:r>
        <w:rPr/>
        <w:t>TPA</w:t>
      </w:r>
      <w:r>
        <w:rPr>
          <w:spacing w:val="-9"/>
        </w:rPr>
        <w:t> </w:t>
      </w:r>
      <w:r>
        <w:rPr/>
        <w:t>shall</w:t>
      </w:r>
      <w:r>
        <w:rPr>
          <w:spacing w:val="-9"/>
        </w:rPr>
        <w:t> </w:t>
      </w:r>
      <w:r>
        <w:rPr/>
        <w:t>obtain</w:t>
      </w:r>
      <w:r>
        <w:rPr>
          <w:spacing w:val="-11"/>
        </w:rPr>
        <w:t> </w:t>
      </w:r>
      <w:r>
        <w:rPr/>
        <w:t>authority</w:t>
      </w:r>
      <w:r>
        <w:rPr>
          <w:spacing w:val="-12"/>
        </w:rPr>
        <w:t> </w:t>
      </w:r>
      <w:r>
        <w:rPr/>
        <w:t>from</w:t>
      </w:r>
      <w:r>
        <w:rPr>
          <w:spacing w:val="-7"/>
        </w:rPr>
        <w:t> </w:t>
      </w:r>
      <w:r>
        <w:rPr/>
        <w:t>the</w:t>
      </w:r>
      <w:r>
        <w:rPr>
          <w:spacing w:val="-9"/>
        </w:rPr>
        <w:t> </w:t>
      </w:r>
      <w:r>
        <w:rPr/>
        <w:t>City</w:t>
      </w:r>
      <w:r>
        <w:rPr>
          <w:spacing w:val="-9"/>
        </w:rPr>
        <w:t> </w:t>
      </w:r>
      <w:r>
        <w:rPr/>
        <w:t>to</w:t>
      </w:r>
      <w:r>
        <w:rPr>
          <w:spacing w:val="-9"/>
        </w:rPr>
        <w:t> </w:t>
      </w:r>
      <w:r>
        <w:rPr/>
        <w:t>delay</w:t>
      </w:r>
      <w:r>
        <w:rPr>
          <w:spacing w:val="-10"/>
        </w:rPr>
        <w:t> </w:t>
      </w:r>
      <w:r>
        <w:rPr/>
        <w:t>or</w:t>
      </w:r>
      <w:r>
        <w:rPr>
          <w:spacing w:val="-5"/>
        </w:rPr>
        <w:t> </w:t>
      </w:r>
      <w:r>
        <w:rPr/>
        <w:t>deny</w:t>
      </w:r>
      <w:r>
        <w:rPr>
          <w:spacing w:val="-10"/>
        </w:rPr>
        <w:t> </w:t>
      </w:r>
      <w:r>
        <w:rPr/>
        <w:t>a</w:t>
      </w:r>
      <w:r>
        <w:rPr>
          <w:spacing w:val="-8"/>
        </w:rPr>
        <w:t> </w:t>
      </w:r>
      <w:r>
        <w:rPr/>
        <w:t>claim.</w:t>
      </w:r>
      <w:r>
        <w:rPr>
          <w:spacing w:val="46"/>
        </w:rPr>
        <w:t> </w:t>
      </w:r>
      <w:r>
        <w:rPr/>
        <w:t>The</w:t>
      </w:r>
      <w:r>
        <w:rPr>
          <w:spacing w:val="-9"/>
        </w:rPr>
        <w:t> </w:t>
      </w:r>
      <w:r>
        <w:rPr/>
        <w:t>City’s</w:t>
      </w:r>
      <w:r>
        <w:rPr>
          <w:spacing w:val="-5"/>
        </w:rPr>
        <w:t> </w:t>
      </w:r>
      <w:r>
        <w:rPr/>
        <w:t>authorization shall</w:t>
      </w:r>
      <w:r>
        <w:rPr>
          <w:spacing w:val="-14"/>
        </w:rPr>
        <w:t> </w:t>
      </w:r>
      <w:r>
        <w:rPr/>
        <w:t>be</w:t>
      </w:r>
      <w:r>
        <w:rPr>
          <w:spacing w:val="-11"/>
        </w:rPr>
        <w:t> </w:t>
      </w:r>
      <w:r>
        <w:rPr/>
        <w:t>clearly</w:t>
      </w:r>
      <w:r>
        <w:rPr>
          <w:spacing w:val="-13"/>
        </w:rPr>
        <w:t> </w:t>
      </w:r>
      <w:r>
        <w:rPr/>
        <w:t>documented</w:t>
      </w:r>
      <w:r>
        <w:rPr>
          <w:spacing w:val="-11"/>
        </w:rPr>
        <w:t> </w:t>
      </w:r>
      <w:r>
        <w:rPr/>
        <w:t>in</w:t>
      </w:r>
      <w:r>
        <w:rPr>
          <w:spacing w:val="-14"/>
        </w:rPr>
        <w:t> </w:t>
      </w:r>
      <w:r>
        <w:rPr/>
        <w:t>the</w:t>
      </w:r>
      <w:r>
        <w:rPr>
          <w:spacing w:val="-12"/>
        </w:rPr>
        <w:t> </w:t>
      </w:r>
      <w:r>
        <w:rPr/>
        <w:t>applicable</w:t>
      </w:r>
      <w:r>
        <w:rPr>
          <w:spacing w:val="-12"/>
        </w:rPr>
        <w:t> </w:t>
      </w:r>
      <w:r>
        <w:rPr/>
        <w:t>electronic</w:t>
      </w:r>
      <w:r>
        <w:rPr>
          <w:spacing w:val="-11"/>
        </w:rPr>
        <w:t> </w:t>
      </w:r>
      <w:r>
        <w:rPr/>
        <w:t>claim</w:t>
      </w:r>
      <w:r>
        <w:rPr>
          <w:spacing w:val="-16"/>
        </w:rPr>
        <w:t> </w:t>
      </w:r>
      <w:r>
        <w:rPr/>
        <w:t>file</w:t>
      </w:r>
      <w:r>
        <w:rPr>
          <w:spacing w:val="-12"/>
        </w:rPr>
        <w:t> </w:t>
      </w:r>
      <w:r>
        <w:rPr/>
        <w:t>system.</w:t>
      </w:r>
      <w:r>
        <w:rPr>
          <w:spacing w:val="34"/>
        </w:rPr>
        <w:t> </w:t>
      </w:r>
      <w:r>
        <w:rPr/>
        <w:t>The</w:t>
      </w:r>
      <w:r>
        <w:rPr>
          <w:spacing w:val="-12"/>
        </w:rPr>
        <w:t> </w:t>
      </w:r>
      <w:r>
        <w:rPr/>
        <w:t>compensability determination</w:t>
      </w:r>
      <w:r>
        <w:rPr>
          <w:spacing w:val="-14"/>
        </w:rPr>
        <w:t> </w:t>
      </w:r>
      <w:r>
        <w:rPr/>
        <w:t>(accept</w:t>
      </w:r>
      <w:r>
        <w:rPr>
          <w:spacing w:val="-12"/>
        </w:rPr>
        <w:t> </w:t>
      </w:r>
      <w:r>
        <w:rPr/>
        <w:t>claim,</w:t>
      </w:r>
      <w:r>
        <w:rPr>
          <w:spacing w:val="-12"/>
        </w:rPr>
        <w:t> </w:t>
      </w:r>
      <w:r>
        <w:rPr/>
        <w:t>deny</w:t>
      </w:r>
      <w:r>
        <w:rPr>
          <w:spacing w:val="-13"/>
        </w:rPr>
        <w:t> </w:t>
      </w:r>
      <w:r>
        <w:rPr/>
        <w:t>claim,</w:t>
      </w:r>
      <w:r>
        <w:rPr>
          <w:spacing w:val="-12"/>
        </w:rPr>
        <w:t> </w:t>
      </w:r>
      <w:r>
        <w:rPr/>
        <w:t>or</w:t>
      </w:r>
      <w:r>
        <w:rPr>
          <w:spacing w:val="-11"/>
        </w:rPr>
        <w:t> </w:t>
      </w:r>
      <w:r>
        <w:rPr/>
        <w:t>delay</w:t>
      </w:r>
      <w:r>
        <w:rPr>
          <w:spacing w:val="-13"/>
        </w:rPr>
        <w:t> </w:t>
      </w:r>
      <w:r>
        <w:rPr/>
        <w:t>acceptance</w:t>
      </w:r>
      <w:r>
        <w:rPr>
          <w:spacing w:val="-12"/>
        </w:rPr>
        <w:t> </w:t>
      </w:r>
      <w:r>
        <w:rPr/>
        <w:t>pending</w:t>
      </w:r>
      <w:r>
        <w:rPr>
          <w:spacing w:val="-11"/>
        </w:rPr>
        <w:t> </w:t>
      </w:r>
      <w:r>
        <w:rPr/>
        <w:t>the</w:t>
      </w:r>
      <w:r>
        <w:rPr>
          <w:spacing w:val="-14"/>
        </w:rPr>
        <w:t> </w:t>
      </w:r>
      <w:r>
        <w:rPr/>
        <w:t>results</w:t>
      </w:r>
      <w:r>
        <w:rPr>
          <w:spacing w:val="-11"/>
        </w:rPr>
        <w:t> </w:t>
      </w:r>
      <w:r>
        <w:rPr/>
        <w:t>of</w:t>
      </w:r>
      <w:r>
        <w:rPr>
          <w:spacing w:val="-13"/>
        </w:rPr>
        <w:t> </w:t>
      </w:r>
      <w:r>
        <w:rPr/>
        <w:t>additional investigation) and the reasons for such determination will be made and clearly documented in the file within fourteen business days of the receipt of the notification of the loss. Delay of benefit notices shall be mailed in compliance with the Division of Industrial Relations’ guidelines. Copies of benefit notices will be maintained in the applicable electronic claim file system or software. In no case shall a final compensability decision be extended beyond ninety calendar days from the City’s knowledge of the</w:t>
      </w:r>
      <w:r>
        <w:rPr>
          <w:spacing w:val="-8"/>
        </w:rPr>
        <w:t> </w:t>
      </w:r>
      <w:r>
        <w:rPr/>
        <w:t>claim.</w:t>
      </w:r>
    </w:p>
    <w:p>
      <w:pPr>
        <w:pStyle w:val="BodyText"/>
        <w:spacing w:before="10"/>
        <w:rPr>
          <w:sz w:val="13"/>
        </w:rPr>
      </w:pPr>
    </w:p>
    <w:p>
      <w:pPr>
        <w:pStyle w:val="Heading4"/>
        <w:numPr>
          <w:ilvl w:val="0"/>
          <w:numId w:val="1"/>
        </w:numPr>
        <w:tabs>
          <w:tab w:pos="840" w:val="left" w:leader="none"/>
        </w:tabs>
        <w:spacing w:line="240" w:lineRule="auto" w:before="94" w:after="0"/>
        <w:ind w:left="840" w:right="0" w:hanging="360"/>
        <w:jc w:val="left"/>
      </w:pPr>
      <w:r>
        <w:rPr>
          <w:spacing w:val="-62"/>
          <w:u w:val="thick"/>
        </w:rPr>
        <w:t>I</w:t>
      </w:r>
      <w:r>
        <w:rPr>
          <w:spacing w:val="-1"/>
          <w:u w:val="thick"/>
        </w:rPr>
        <w:t> </w:t>
      </w:r>
      <w:r>
        <w:rPr>
          <w:u w:val="thick"/>
        </w:rPr>
        <w:t>nvestigations</w:t>
      </w:r>
    </w:p>
    <w:p>
      <w:pPr>
        <w:pStyle w:val="BodyText"/>
        <w:spacing w:before="10"/>
        <w:rPr>
          <w:b/>
          <w:sz w:val="13"/>
        </w:rPr>
      </w:pPr>
    </w:p>
    <w:p>
      <w:pPr>
        <w:pStyle w:val="BodyText"/>
        <w:spacing w:before="93"/>
        <w:ind w:left="840" w:right="481"/>
        <w:jc w:val="both"/>
      </w:pPr>
      <w:r>
        <w:rPr/>
        <w:t>The TPA shall promptly initiate investigation of issues identified as material to potential litigation.</w:t>
      </w:r>
      <w:r>
        <w:rPr>
          <w:spacing w:val="34"/>
        </w:rPr>
        <w:t> </w:t>
      </w:r>
      <w:r>
        <w:rPr/>
        <w:t>The</w:t>
      </w:r>
      <w:r>
        <w:rPr>
          <w:spacing w:val="-12"/>
        </w:rPr>
        <w:t> </w:t>
      </w:r>
      <w:r>
        <w:rPr/>
        <w:t>City</w:t>
      </w:r>
      <w:r>
        <w:rPr>
          <w:spacing w:val="-14"/>
        </w:rPr>
        <w:t> </w:t>
      </w:r>
      <w:r>
        <w:rPr/>
        <w:t>shall</w:t>
      </w:r>
      <w:r>
        <w:rPr>
          <w:spacing w:val="-15"/>
        </w:rPr>
        <w:t> </w:t>
      </w:r>
      <w:r>
        <w:rPr/>
        <w:t>be</w:t>
      </w:r>
      <w:r>
        <w:rPr>
          <w:spacing w:val="-13"/>
        </w:rPr>
        <w:t> </w:t>
      </w:r>
      <w:r>
        <w:rPr/>
        <w:t>alerted</w:t>
      </w:r>
      <w:r>
        <w:rPr>
          <w:spacing w:val="-15"/>
        </w:rPr>
        <w:t> </w:t>
      </w:r>
      <w:r>
        <w:rPr/>
        <w:t>to</w:t>
      </w:r>
      <w:r>
        <w:rPr>
          <w:spacing w:val="-15"/>
        </w:rPr>
        <w:t> </w:t>
      </w:r>
      <w:r>
        <w:rPr/>
        <w:t>the</w:t>
      </w:r>
      <w:r>
        <w:rPr>
          <w:spacing w:val="-12"/>
        </w:rPr>
        <w:t> </w:t>
      </w:r>
      <w:r>
        <w:rPr/>
        <w:t>need</w:t>
      </w:r>
      <w:r>
        <w:rPr>
          <w:spacing w:val="-18"/>
        </w:rPr>
        <w:t> </w:t>
      </w:r>
      <w:r>
        <w:rPr/>
        <w:t>for</w:t>
      </w:r>
      <w:r>
        <w:rPr>
          <w:spacing w:val="-10"/>
        </w:rPr>
        <w:t> </w:t>
      </w:r>
      <w:r>
        <w:rPr/>
        <w:t>an</w:t>
      </w:r>
      <w:r>
        <w:rPr>
          <w:spacing w:val="-12"/>
        </w:rPr>
        <w:t> </w:t>
      </w:r>
      <w:r>
        <w:rPr/>
        <w:t>outside</w:t>
      </w:r>
      <w:r>
        <w:rPr>
          <w:spacing w:val="-13"/>
        </w:rPr>
        <w:t> </w:t>
      </w:r>
      <w:r>
        <w:rPr/>
        <w:t>investigation</w:t>
      </w:r>
      <w:r>
        <w:rPr>
          <w:spacing w:val="-12"/>
        </w:rPr>
        <w:t> </w:t>
      </w:r>
      <w:r>
        <w:rPr/>
        <w:t>as</w:t>
      </w:r>
      <w:r>
        <w:rPr>
          <w:spacing w:val="-14"/>
        </w:rPr>
        <w:t> </w:t>
      </w:r>
      <w:r>
        <w:rPr/>
        <w:t>soon</w:t>
      </w:r>
      <w:r>
        <w:rPr>
          <w:spacing w:val="-12"/>
        </w:rPr>
        <w:t> </w:t>
      </w:r>
      <w:r>
        <w:rPr/>
        <w:t>as</w:t>
      </w:r>
      <w:r>
        <w:rPr>
          <w:spacing w:val="-12"/>
        </w:rPr>
        <w:t> </w:t>
      </w:r>
      <w:r>
        <w:rPr/>
        <w:t>possible and the City will appoint an investigator, however the TPA can refer a trusted</w:t>
      </w:r>
      <w:r>
        <w:rPr>
          <w:spacing w:val="6"/>
        </w:rPr>
        <w:t> </w:t>
      </w:r>
      <w:r>
        <w:rPr/>
        <w:t>investigator</w:t>
      </w:r>
    </w:p>
    <w:p>
      <w:pPr>
        <w:spacing w:after="0"/>
        <w:jc w:val="both"/>
        <w:sectPr>
          <w:pgSz w:w="12240" w:h="15840"/>
          <w:pgMar w:header="0" w:footer="1248" w:top="740" w:bottom="1440" w:left="960" w:right="960"/>
        </w:sectPr>
      </w:pPr>
    </w:p>
    <w:p>
      <w:pPr>
        <w:pStyle w:val="BodyText"/>
        <w:tabs>
          <w:tab w:pos="9594" w:val="left" w:leader="none"/>
        </w:tabs>
        <w:spacing w:before="71"/>
        <w:ind w:left="840" w:right="480"/>
      </w:pPr>
      <w:r>
        <w:rPr/>
        <w:pict>
          <v:group style="position:absolute;margin-left:26.160002pt;margin-top:26.160002pt;width:561.85pt;height:741.85pt;mso-position-horizontal-relative:page;mso-position-vertical-relative:page;z-index:-253980672" coordorigin="523,523" coordsize="11237,14837">
            <v:line style="position:absolute" from="523,545" to="11674,545" stroked="true" strokeweight="2.159998pt" strokecolor="#000000">
              <v:stroke dashstyle="solid"/>
            </v:line>
            <v:rect style="position:absolute;left:11673;top:523;width:44;height:44" filled="true" fillcolor="#000000" stroked="false">
              <v:fill type="solid"/>
            </v:rect>
            <v:line style="position:absolute" from="545,566" to="545,15317" stroked="true" strokeweight="2.159998pt" strokecolor="#000000">
              <v:stroke dashstyle="solid"/>
            </v:line>
            <v:line style="position:absolute" from="11717,566" to="11717,15274" stroked="true" strokeweight="4.320008pt" strokecolor="#000000">
              <v:stroke dashstyle="solid"/>
            </v:line>
            <v:line style="position:absolute" from="566,15317" to="11674,15317" stroked="true" strokeweight="4.320008pt" strokecolor="#000000">
              <v:stroke dashstyle="solid"/>
            </v:line>
            <v:shape style="position:absolute;left:11673;top:15273;width:87;height:87" coordorigin="11674,15274" coordsize="87,87" path="m11760,15274l11717,15274,11674,15274,11674,15317,11674,15360,11717,15360,11760,15360,11760,15317,11760,15274e" filled="true" fillcolor="#000000" stroked="false">
              <v:path arrowok="t"/>
              <v:fill type="solid"/>
            </v:shape>
            <w10:wrap type="none"/>
          </v:group>
        </w:pict>
      </w:r>
      <w:r>
        <w:rPr/>
        <w:t>also.</w:t>
      </w:r>
      <w:r>
        <w:rPr>
          <w:spacing w:val="39"/>
        </w:rPr>
        <w:t> </w:t>
      </w:r>
      <w:r>
        <w:rPr/>
        <w:t>The</w:t>
      </w:r>
      <w:r>
        <w:rPr>
          <w:spacing w:val="37"/>
        </w:rPr>
        <w:t> </w:t>
      </w:r>
      <w:r>
        <w:rPr/>
        <w:t>City</w:t>
      </w:r>
      <w:r>
        <w:rPr>
          <w:spacing w:val="37"/>
        </w:rPr>
        <w:t> </w:t>
      </w:r>
      <w:r>
        <w:rPr/>
        <w:t>shall</w:t>
      </w:r>
      <w:r>
        <w:rPr>
          <w:spacing w:val="38"/>
        </w:rPr>
        <w:t> </w:t>
      </w:r>
      <w:r>
        <w:rPr/>
        <w:t>be</w:t>
      </w:r>
      <w:r>
        <w:rPr>
          <w:spacing w:val="35"/>
        </w:rPr>
        <w:t> </w:t>
      </w:r>
      <w:r>
        <w:rPr/>
        <w:t>kept</w:t>
      </w:r>
      <w:r>
        <w:rPr>
          <w:spacing w:val="40"/>
        </w:rPr>
        <w:t> </w:t>
      </w:r>
      <w:r>
        <w:rPr/>
        <w:t>informed</w:t>
      </w:r>
      <w:r>
        <w:rPr>
          <w:spacing w:val="37"/>
        </w:rPr>
        <w:t> </w:t>
      </w:r>
      <w:r>
        <w:rPr/>
        <w:t>on</w:t>
      </w:r>
      <w:r>
        <w:rPr>
          <w:spacing w:val="35"/>
        </w:rPr>
        <w:t> </w:t>
      </w:r>
      <w:r>
        <w:rPr/>
        <w:t>the</w:t>
      </w:r>
      <w:r>
        <w:rPr>
          <w:spacing w:val="40"/>
        </w:rPr>
        <w:t> </w:t>
      </w:r>
      <w:r>
        <w:rPr/>
        <w:t>scope</w:t>
      </w:r>
      <w:r>
        <w:rPr>
          <w:spacing w:val="41"/>
        </w:rPr>
        <w:t> </w:t>
      </w:r>
      <w:r>
        <w:rPr/>
        <w:t>and</w:t>
      </w:r>
      <w:r>
        <w:rPr>
          <w:spacing w:val="36"/>
        </w:rPr>
        <w:t> </w:t>
      </w:r>
      <w:r>
        <w:rPr/>
        <w:t>results</w:t>
      </w:r>
      <w:r>
        <w:rPr>
          <w:spacing w:val="39"/>
        </w:rPr>
        <w:t> </w:t>
      </w:r>
      <w:r>
        <w:rPr/>
        <w:t>of</w:t>
      </w:r>
      <w:r>
        <w:rPr>
          <w:spacing w:val="39"/>
        </w:rPr>
        <w:t> </w:t>
      </w:r>
      <w:r>
        <w:rPr/>
        <w:t>all</w:t>
      </w:r>
      <w:r>
        <w:rPr>
          <w:spacing w:val="40"/>
        </w:rPr>
        <w:t> </w:t>
      </w:r>
      <w:r>
        <w:rPr/>
        <w:t>investigations.</w:t>
        <w:tab/>
      </w:r>
      <w:r>
        <w:rPr>
          <w:spacing w:val="-7"/>
        </w:rPr>
        <w:t>All </w:t>
      </w:r>
      <w:r>
        <w:rPr/>
        <w:t>activities shall be clearly documented in the computer</w:t>
      </w:r>
      <w:r>
        <w:rPr>
          <w:spacing w:val="-9"/>
        </w:rPr>
        <w:t> </w:t>
      </w:r>
      <w:r>
        <w:rPr/>
        <w:t>system.</w:t>
      </w:r>
    </w:p>
    <w:p>
      <w:pPr>
        <w:pStyle w:val="BodyText"/>
        <w:spacing w:before="10"/>
        <w:rPr>
          <w:sz w:val="13"/>
        </w:rPr>
      </w:pPr>
    </w:p>
    <w:p>
      <w:pPr>
        <w:pStyle w:val="Heading4"/>
        <w:numPr>
          <w:ilvl w:val="0"/>
          <w:numId w:val="1"/>
        </w:numPr>
        <w:tabs>
          <w:tab w:pos="840" w:val="left" w:leader="none"/>
        </w:tabs>
        <w:spacing w:line="240" w:lineRule="auto" w:before="93" w:after="0"/>
        <w:ind w:left="840" w:right="0" w:hanging="360"/>
        <w:jc w:val="left"/>
      </w:pPr>
      <w:r>
        <w:rPr>
          <w:spacing w:val="-160"/>
          <w:u w:val="thick"/>
        </w:rPr>
        <w:t>R</w:t>
      </w:r>
      <w:r>
        <w:rPr>
          <w:spacing w:val="100"/>
        </w:rPr>
        <w:t> </w:t>
      </w:r>
      <w:r>
        <w:rPr>
          <w:u w:val="thick"/>
        </w:rPr>
        <w:t>eserves</w:t>
      </w:r>
    </w:p>
    <w:p>
      <w:pPr>
        <w:pStyle w:val="BodyText"/>
        <w:spacing w:before="10"/>
        <w:rPr>
          <w:b/>
          <w:sz w:val="13"/>
        </w:rPr>
      </w:pPr>
    </w:p>
    <w:p>
      <w:pPr>
        <w:pStyle w:val="BodyText"/>
        <w:spacing w:before="94"/>
        <w:ind w:left="840" w:right="481"/>
        <w:jc w:val="both"/>
      </w:pPr>
      <w:r>
        <w:rPr/>
        <w:t>Reserves shall be established based on the facts of the claim and the ultimate probable cost of each claim. Clear documentation for reserve rational for each reserve change shall be in the file notes. The examiner on a regular basis not less than every 45 calendar days shall review all reserve categories. Indemnity reserves shall reflect actual temporary disability indemnity exposure with 4850 differential listed separately. The use of an electronic reserve worksheet or software is required on all claims and a hard copy shall be maintained in the applicable claim file.</w:t>
      </w:r>
    </w:p>
    <w:p>
      <w:pPr>
        <w:pStyle w:val="BodyText"/>
        <w:spacing w:before="11"/>
        <w:rPr>
          <w:sz w:val="21"/>
        </w:rPr>
      </w:pPr>
    </w:p>
    <w:p>
      <w:pPr>
        <w:pStyle w:val="Heading4"/>
        <w:numPr>
          <w:ilvl w:val="0"/>
          <w:numId w:val="1"/>
        </w:numPr>
        <w:tabs>
          <w:tab w:pos="840" w:val="left" w:leader="none"/>
        </w:tabs>
        <w:spacing w:line="240" w:lineRule="auto" w:before="0" w:after="0"/>
        <w:ind w:left="840" w:right="0" w:hanging="360"/>
        <w:jc w:val="left"/>
      </w:pPr>
      <w:r>
        <w:rPr>
          <w:spacing w:val="-147"/>
          <w:u w:val="thick"/>
        </w:rPr>
        <w:t>P</w:t>
      </w:r>
      <w:r>
        <w:rPr>
          <w:spacing w:val="87"/>
        </w:rPr>
        <w:t> </w:t>
      </w:r>
      <w:r>
        <w:rPr>
          <w:u w:val="thick"/>
        </w:rPr>
        <w:t>rovision of</w:t>
      </w:r>
      <w:r>
        <w:rPr>
          <w:spacing w:val="-1"/>
          <w:u w:val="thick"/>
        </w:rPr>
        <w:t> </w:t>
      </w:r>
      <w:r>
        <w:rPr>
          <w:u w:val="thick"/>
        </w:rPr>
        <w:t>Benefits</w:t>
      </w:r>
    </w:p>
    <w:p>
      <w:pPr>
        <w:pStyle w:val="BodyText"/>
        <w:spacing w:before="10"/>
        <w:rPr>
          <w:b/>
          <w:sz w:val="13"/>
        </w:rPr>
      </w:pPr>
    </w:p>
    <w:p>
      <w:pPr>
        <w:pStyle w:val="BodyText"/>
        <w:spacing w:before="94"/>
        <w:ind w:left="840" w:right="480"/>
        <w:jc w:val="both"/>
      </w:pPr>
      <w:r>
        <w:rPr/>
        <w:t>The TPA shall provide all compensation and medical benefits in a timely manner and in compliance with the statutory requirements of the California Labor Code. The TPA shall compute and pay temporary disability benefits to injured employees based upon earnings information and authorized disability periods. The TPA shall review, compute and pay all informal ratings, death benefits, life pensions, Findings and Awards or Compromise and Release settlements. Copies of all benefit notices shall be sent to the City.</w:t>
      </w:r>
    </w:p>
    <w:p>
      <w:pPr>
        <w:pStyle w:val="BodyText"/>
        <w:spacing w:before="9"/>
        <w:rPr>
          <w:sz w:val="21"/>
        </w:rPr>
      </w:pPr>
    </w:p>
    <w:p>
      <w:pPr>
        <w:pStyle w:val="Heading4"/>
        <w:numPr>
          <w:ilvl w:val="0"/>
          <w:numId w:val="1"/>
        </w:numPr>
        <w:tabs>
          <w:tab w:pos="840" w:val="left" w:leader="none"/>
        </w:tabs>
        <w:spacing w:line="240" w:lineRule="auto" w:before="0" w:after="0"/>
        <w:ind w:left="840" w:right="0" w:hanging="360"/>
        <w:jc w:val="left"/>
      </w:pPr>
      <w:r>
        <w:rPr>
          <w:spacing w:val="-62"/>
          <w:u w:val="thick"/>
        </w:rPr>
        <w:t>I</w:t>
      </w:r>
      <w:r>
        <w:rPr>
          <w:spacing w:val="-1"/>
          <w:u w:val="thick"/>
        </w:rPr>
        <w:t> </w:t>
      </w:r>
      <w:r>
        <w:rPr>
          <w:u w:val="thick"/>
        </w:rPr>
        <w:t>nitial Indemnity</w:t>
      </w:r>
      <w:r>
        <w:rPr>
          <w:spacing w:val="-3"/>
          <w:u w:val="thick"/>
        </w:rPr>
        <w:t> </w:t>
      </w:r>
      <w:r>
        <w:rPr>
          <w:u w:val="thick"/>
        </w:rPr>
        <w:t>Payment</w:t>
      </w:r>
    </w:p>
    <w:p>
      <w:pPr>
        <w:pStyle w:val="BodyText"/>
        <w:spacing w:before="11"/>
        <w:rPr>
          <w:b/>
          <w:sz w:val="13"/>
        </w:rPr>
      </w:pPr>
    </w:p>
    <w:p>
      <w:pPr>
        <w:pStyle w:val="BodyText"/>
        <w:spacing w:before="93"/>
        <w:ind w:left="840" w:right="482"/>
        <w:jc w:val="both"/>
      </w:pPr>
      <w:r>
        <w:rPr/>
        <w:t>The initial indemnity payment or voucher will be issued and mailed to the injured employee together with a properly completed DWC benefit notice within fourteen calendar days of the first day of disability. Copies of benefit notices will be maintained in the applicable claim file.</w:t>
      </w:r>
    </w:p>
    <w:p>
      <w:pPr>
        <w:pStyle w:val="BodyText"/>
        <w:spacing w:before="1"/>
      </w:pPr>
    </w:p>
    <w:p>
      <w:pPr>
        <w:pStyle w:val="BodyText"/>
        <w:ind w:left="840" w:right="483"/>
        <w:jc w:val="both"/>
      </w:pPr>
      <w:r>
        <w:rPr/>
        <w:t>Late payments must include the self-imposed 10% penalty in accordance with Labor Code Section 4650. If late due to TPA, TPA assumes all late payment penalties.</w:t>
      </w:r>
    </w:p>
    <w:p>
      <w:pPr>
        <w:pStyle w:val="BodyText"/>
        <w:spacing w:before="11"/>
        <w:rPr>
          <w:sz w:val="21"/>
        </w:rPr>
      </w:pPr>
    </w:p>
    <w:p>
      <w:pPr>
        <w:pStyle w:val="Heading4"/>
        <w:numPr>
          <w:ilvl w:val="0"/>
          <w:numId w:val="1"/>
        </w:numPr>
        <w:tabs>
          <w:tab w:pos="840" w:val="left" w:leader="none"/>
        </w:tabs>
        <w:spacing w:line="240" w:lineRule="auto" w:before="0" w:after="0"/>
        <w:ind w:left="840" w:right="0" w:hanging="360"/>
        <w:jc w:val="left"/>
      </w:pPr>
      <w:r>
        <w:rPr>
          <w:spacing w:val="-147"/>
          <w:u w:val="thick"/>
        </w:rPr>
        <w:t>S</w:t>
      </w:r>
      <w:r>
        <w:rPr>
          <w:spacing w:val="87"/>
        </w:rPr>
        <w:t> </w:t>
      </w:r>
      <w:r>
        <w:rPr>
          <w:u w:val="thick"/>
        </w:rPr>
        <w:t>ubsequent Indemnity Payments</w:t>
      </w:r>
    </w:p>
    <w:p>
      <w:pPr>
        <w:pStyle w:val="BodyText"/>
        <w:spacing w:before="10"/>
        <w:rPr>
          <w:b/>
          <w:sz w:val="13"/>
        </w:rPr>
      </w:pPr>
    </w:p>
    <w:p>
      <w:pPr>
        <w:pStyle w:val="BodyText"/>
        <w:spacing w:before="94"/>
        <w:ind w:left="840" w:right="481"/>
        <w:jc w:val="both"/>
      </w:pPr>
      <w:r>
        <w:rPr/>
        <w:t>All indemnity payments or vouchers subsequent to the first payment will be verified, except for those payments where disability is expected beyond ninety calendar days in which case payments will be verified in 90-day increments. All disability payments will be issued in compliance with Labor Code Section 4651.</w:t>
      </w:r>
    </w:p>
    <w:p>
      <w:pPr>
        <w:pStyle w:val="BodyText"/>
      </w:pPr>
    </w:p>
    <w:p>
      <w:pPr>
        <w:pStyle w:val="BodyText"/>
        <w:ind w:left="840" w:right="483"/>
        <w:jc w:val="both"/>
      </w:pPr>
      <w:r>
        <w:rPr/>
        <w:t>Late payments must include the self-imposed 10% penalty in accordance with Labor Code Section 4650. If late due to TPA, TPA assumes all late payment penalties.</w:t>
      </w:r>
    </w:p>
    <w:p>
      <w:pPr>
        <w:pStyle w:val="BodyText"/>
        <w:spacing w:before="10"/>
        <w:rPr>
          <w:sz w:val="21"/>
        </w:rPr>
      </w:pPr>
    </w:p>
    <w:p>
      <w:pPr>
        <w:pStyle w:val="BodyText"/>
        <w:spacing w:before="1"/>
        <w:ind w:left="840" w:right="484"/>
        <w:jc w:val="both"/>
      </w:pPr>
      <w:r>
        <w:rPr/>
        <w:t>Copies</w:t>
      </w:r>
      <w:r>
        <w:rPr>
          <w:spacing w:val="-6"/>
        </w:rPr>
        <w:t> </w:t>
      </w:r>
      <w:r>
        <w:rPr/>
        <w:t>of</w:t>
      </w:r>
      <w:r>
        <w:rPr>
          <w:spacing w:val="-4"/>
        </w:rPr>
        <w:t> </w:t>
      </w:r>
      <w:r>
        <w:rPr/>
        <w:t>benefit</w:t>
      </w:r>
      <w:r>
        <w:rPr>
          <w:spacing w:val="-4"/>
        </w:rPr>
        <w:t> </w:t>
      </w:r>
      <w:r>
        <w:rPr/>
        <w:t>notices</w:t>
      </w:r>
      <w:r>
        <w:rPr>
          <w:spacing w:val="-9"/>
        </w:rPr>
        <w:t> </w:t>
      </w:r>
      <w:r>
        <w:rPr/>
        <w:t>issued</w:t>
      </w:r>
      <w:r>
        <w:rPr>
          <w:spacing w:val="-6"/>
        </w:rPr>
        <w:t> </w:t>
      </w:r>
      <w:r>
        <w:rPr/>
        <w:t>with</w:t>
      </w:r>
      <w:r>
        <w:rPr>
          <w:spacing w:val="-8"/>
        </w:rPr>
        <w:t> </w:t>
      </w:r>
      <w:r>
        <w:rPr/>
        <w:t>subsequent</w:t>
      </w:r>
      <w:r>
        <w:rPr>
          <w:spacing w:val="-6"/>
        </w:rPr>
        <w:t> </w:t>
      </w:r>
      <w:r>
        <w:rPr/>
        <w:t>benefits</w:t>
      </w:r>
      <w:r>
        <w:rPr>
          <w:spacing w:val="-6"/>
        </w:rPr>
        <w:t> </w:t>
      </w:r>
      <w:r>
        <w:rPr/>
        <w:t>will</w:t>
      </w:r>
      <w:r>
        <w:rPr>
          <w:spacing w:val="-6"/>
        </w:rPr>
        <w:t> </w:t>
      </w:r>
      <w:r>
        <w:rPr/>
        <w:t>be</w:t>
      </w:r>
      <w:r>
        <w:rPr>
          <w:spacing w:val="-6"/>
        </w:rPr>
        <w:t> </w:t>
      </w:r>
      <w:r>
        <w:rPr/>
        <w:t>maintained</w:t>
      </w:r>
      <w:r>
        <w:rPr>
          <w:spacing w:val="-6"/>
        </w:rPr>
        <w:t> </w:t>
      </w:r>
      <w:r>
        <w:rPr/>
        <w:t>in</w:t>
      </w:r>
      <w:r>
        <w:rPr>
          <w:spacing w:val="-7"/>
        </w:rPr>
        <w:t> </w:t>
      </w:r>
      <w:r>
        <w:rPr/>
        <w:t>the</w:t>
      </w:r>
      <w:r>
        <w:rPr>
          <w:spacing w:val="-6"/>
        </w:rPr>
        <w:t> </w:t>
      </w:r>
      <w:r>
        <w:rPr/>
        <w:t>applicable claim</w:t>
      </w:r>
      <w:r>
        <w:rPr>
          <w:spacing w:val="-3"/>
        </w:rPr>
        <w:t> </w:t>
      </w:r>
      <w:r>
        <w:rPr/>
        <w:t>file.</w:t>
      </w:r>
    </w:p>
    <w:p>
      <w:pPr>
        <w:pStyle w:val="BodyText"/>
        <w:spacing w:before="9"/>
        <w:rPr>
          <w:sz w:val="13"/>
        </w:rPr>
      </w:pPr>
    </w:p>
    <w:p>
      <w:pPr>
        <w:pStyle w:val="Heading4"/>
        <w:numPr>
          <w:ilvl w:val="0"/>
          <w:numId w:val="1"/>
        </w:numPr>
        <w:tabs>
          <w:tab w:pos="840" w:val="left" w:leader="none"/>
        </w:tabs>
        <w:spacing w:line="240" w:lineRule="auto" w:before="94" w:after="0"/>
        <w:ind w:left="840" w:right="0" w:hanging="360"/>
        <w:jc w:val="left"/>
      </w:pPr>
      <w:r>
        <w:rPr>
          <w:spacing w:val="-184"/>
          <w:u w:val="thick"/>
        </w:rPr>
        <w:t>M</w:t>
      </w:r>
      <w:r>
        <w:rPr>
          <w:spacing w:val="126"/>
        </w:rPr>
        <w:t> </w:t>
      </w:r>
      <w:r>
        <w:rPr>
          <w:u w:val="thick"/>
        </w:rPr>
        <w:t>edical</w:t>
      </w:r>
      <w:r>
        <w:rPr>
          <w:spacing w:val="5"/>
          <w:u w:val="thick"/>
        </w:rPr>
        <w:t> </w:t>
      </w:r>
      <w:r>
        <w:rPr>
          <w:u w:val="thick"/>
        </w:rPr>
        <w:t>Administration</w:t>
      </w:r>
    </w:p>
    <w:p>
      <w:pPr>
        <w:pStyle w:val="BodyText"/>
        <w:spacing w:before="10"/>
        <w:rPr>
          <w:b/>
          <w:sz w:val="13"/>
        </w:rPr>
      </w:pPr>
    </w:p>
    <w:p>
      <w:pPr>
        <w:pStyle w:val="BodyText"/>
        <w:spacing w:before="94"/>
        <w:ind w:left="840" w:right="480"/>
      </w:pPr>
      <w:r>
        <w:rPr/>
        <w:t>The TPA, shall provide Medical Provider Management Services which may include but are not limited to the following:</w:t>
      </w:r>
    </w:p>
    <w:p>
      <w:pPr>
        <w:pStyle w:val="BodyText"/>
        <w:spacing w:before="10"/>
        <w:rPr>
          <w:sz w:val="21"/>
        </w:rPr>
      </w:pPr>
    </w:p>
    <w:p>
      <w:pPr>
        <w:pStyle w:val="ListParagraph"/>
        <w:numPr>
          <w:ilvl w:val="1"/>
          <w:numId w:val="1"/>
        </w:numPr>
        <w:tabs>
          <w:tab w:pos="1201" w:val="left" w:leader="none"/>
        </w:tabs>
        <w:spacing w:line="240" w:lineRule="auto" w:before="1" w:after="0"/>
        <w:ind w:left="1200" w:right="481" w:hanging="360"/>
        <w:jc w:val="both"/>
        <w:rPr>
          <w:sz w:val="22"/>
        </w:rPr>
      </w:pPr>
      <w:r>
        <w:rPr>
          <w:sz w:val="22"/>
        </w:rPr>
        <w:t>Management of the City’s Medical Provider Network (MPN), which meets the State of California Laws and Regulations and the Workers’ Compensation Administrative Director requirements, per Labor Code Section 4616, and the needs of the City. The TPA is expected to maintain the MPN. Management of the MPN includes the dispute of</w:t>
      </w:r>
      <w:r>
        <w:rPr>
          <w:spacing w:val="-32"/>
          <w:sz w:val="22"/>
        </w:rPr>
        <w:t> </w:t>
      </w:r>
      <w:r>
        <w:rPr>
          <w:sz w:val="22"/>
        </w:rPr>
        <w:t>medical</w:t>
      </w:r>
    </w:p>
    <w:p>
      <w:pPr>
        <w:spacing w:after="0" w:line="240" w:lineRule="auto"/>
        <w:jc w:val="both"/>
        <w:rPr>
          <w:sz w:val="22"/>
        </w:rPr>
        <w:sectPr>
          <w:pgSz w:w="12240" w:h="15840"/>
          <w:pgMar w:header="0" w:footer="1248" w:top="740" w:bottom="1440" w:left="960" w:right="960"/>
        </w:sectPr>
      </w:pPr>
    </w:p>
    <w:p>
      <w:pPr>
        <w:pStyle w:val="BodyText"/>
        <w:spacing w:before="71"/>
        <w:ind w:left="1200" w:right="482"/>
        <w:jc w:val="both"/>
      </w:pPr>
      <w:r>
        <w:rPr/>
        <w:pict>
          <v:group style="position:absolute;margin-left:26.160002pt;margin-top:26.160002pt;width:561.85pt;height:741.85pt;mso-position-horizontal-relative:page;mso-position-vertical-relative:page;z-index:-253979648" coordorigin="523,523" coordsize="11237,14837">
            <v:line style="position:absolute" from="523,545" to="11674,545" stroked="true" strokeweight="2.159998pt" strokecolor="#000000">
              <v:stroke dashstyle="solid"/>
            </v:line>
            <v:rect style="position:absolute;left:11673;top:523;width:44;height:44" filled="true" fillcolor="#000000" stroked="false">
              <v:fill type="solid"/>
            </v:rect>
            <v:line style="position:absolute" from="545,566" to="545,15317" stroked="true" strokeweight="2.159998pt" strokecolor="#000000">
              <v:stroke dashstyle="solid"/>
            </v:line>
            <v:line style="position:absolute" from="11717,566" to="11717,15274" stroked="true" strokeweight="4.320008pt" strokecolor="#000000">
              <v:stroke dashstyle="solid"/>
            </v:line>
            <v:line style="position:absolute" from="566,15317" to="11674,15317" stroked="true" strokeweight="4.320008pt" strokecolor="#000000">
              <v:stroke dashstyle="solid"/>
            </v:line>
            <v:shape style="position:absolute;left:11673;top:15273;width:87;height:87" coordorigin="11674,15274" coordsize="87,87" path="m11760,15274l11717,15274,11674,15274,11674,15317,11674,15360,11717,15360,11760,15360,11760,15317,11760,15274e" filled="true" fillcolor="#000000" stroked="false">
              <v:path arrowok="t"/>
              <v:fill type="solid"/>
            </v:shape>
            <w10:wrap type="none"/>
          </v:group>
        </w:pict>
      </w:r>
      <w:r>
        <w:rPr/>
        <w:t>treatment processes, as well as MPN correspondence regarding transfer of care as required.</w:t>
      </w:r>
    </w:p>
    <w:p>
      <w:pPr>
        <w:pStyle w:val="ListParagraph"/>
        <w:numPr>
          <w:ilvl w:val="1"/>
          <w:numId w:val="1"/>
        </w:numPr>
        <w:tabs>
          <w:tab w:pos="1201" w:val="left" w:leader="none"/>
        </w:tabs>
        <w:spacing w:line="240" w:lineRule="auto" w:before="0" w:after="0"/>
        <w:ind w:left="1200" w:right="485" w:hanging="360"/>
        <w:jc w:val="both"/>
        <w:rPr>
          <w:sz w:val="22"/>
        </w:rPr>
      </w:pPr>
      <w:r>
        <w:rPr>
          <w:sz w:val="22"/>
        </w:rPr>
        <w:t>Provide necessary documents to the City so that the City can fulfill the requirements </w:t>
      </w:r>
      <w:r>
        <w:rPr>
          <w:spacing w:val="-3"/>
          <w:sz w:val="22"/>
        </w:rPr>
        <w:t>of </w:t>
      </w:r>
      <w:r>
        <w:rPr>
          <w:sz w:val="22"/>
        </w:rPr>
        <w:t>notification to their</w:t>
      </w:r>
      <w:r>
        <w:rPr>
          <w:spacing w:val="-6"/>
          <w:sz w:val="22"/>
        </w:rPr>
        <w:t> </w:t>
      </w:r>
      <w:r>
        <w:rPr>
          <w:sz w:val="22"/>
        </w:rPr>
        <w:t>employees.</w:t>
      </w:r>
    </w:p>
    <w:p>
      <w:pPr>
        <w:pStyle w:val="ListParagraph"/>
        <w:numPr>
          <w:ilvl w:val="1"/>
          <w:numId w:val="1"/>
        </w:numPr>
        <w:tabs>
          <w:tab w:pos="1200" w:val="left" w:leader="none"/>
        </w:tabs>
        <w:spacing w:line="240" w:lineRule="auto" w:before="0" w:after="0"/>
        <w:ind w:left="1200" w:right="482" w:hanging="360"/>
        <w:jc w:val="both"/>
        <w:rPr>
          <w:sz w:val="22"/>
        </w:rPr>
      </w:pPr>
      <w:r>
        <w:rPr>
          <w:sz w:val="22"/>
        </w:rPr>
        <w:t>In the event an MPN modification is filed, the TPA will submit, on behalf of the City, the plan to the Administrative Director. The TPA will also act as the Division Liaison to the Administrative</w:t>
      </w:r>
      <w:r>
        <w:rPr>
          <w:spacing w:val="-7"/>
          <w:sz w:val="22"/>
        </w:rPr>
        <w:t> </w:t>
      </w:r>
      <w:r>
        <w:rPr>
          <w:sz w:val="22"/>
        </w:rPr>
        <w:t>Director</w:t>
      </w:r>
      <w:r>
        <w:rPr>
          <w:spacing w:val="-11"/>
          <w:sz w:val="22"/>
        </w:rPr>
        <w:t> </w:t>
      </w:r>
      <w:r>
        <w:rPr>
          <w:sz w:val="22"/>
        </w:rPr>
        <w:t>to</w:t>
      </w:r>
      <w:r>
        <w:rPr>
          <w:spacing w:val="-11"/>
          <w:sz w:val="22"/>
        </w:rPr>
        <w:t> </w:t>
      </w:r>
      <w:r>
        <w:rPr>
          <w:sz w:val="22"/>
        </w:rPr>
        <w:t>ensure</w:t>
      </w:r>
      <w:r>
        <w:rPr>
          <w:spacing w:val="-10"/>
          <w:sz w:val="22"/>
        </w:rPr>
        <w:t> </w:t>
      </w:r>
      <w:r>
        <w:rPr>
          <w:sz w:val="22"/>
        </w:rPr>
        <w:t>compliance</w:t>
      </w:r>
      <w:r>
        <w:rPr>
          <w:spacing w:val="-9"/>
          <w:sz w:val="22"/>
        </w:rPr>
        <w:t> </w:t>
      </w:r>
      <w:r>
        <w:rPr>
          <w:sz w:val="22"/>
        </w:rPr>
        <w:t>with</w:t>
      </w:r>
      <w:r>
        <w:rPr>
          <w:spacing w:val="-9"/>
          <w:sz w:val="22"/>
        </w:rPr>
        <w:t> </w:t>
      </w:r>
      <w:r>
        <w:rPr>
          <w:sz w:val="22"/>
        </w:rPr>
        <w:t>the</w:t>
      </w:r>
      <w:r>
        <w:rPr>
          <w:spacing w:val="-9"/>
          <w:sz w:val="22"/>
        </w:rPr>
        <w:t> </w:t>
      </w:r>
      <w:r>
        <w:rPr>
          <w:sz w:val="22"/>
        </w:rPr>
        <w:t>modification</w:t>
      </w:r>
      <w:r>
        <w:rPr>
          <w:spacing w:val="-7"/>
          <w:sz w:val="22"/>
        </w:rPr>
        <w:t> </w:t>
      </w:r>
      <w:r>
        <w:rPr>
          <w:sz w:val="22"/>
        </w:rPr>
        <w:t>plan</w:t>
      </w:r>
      <w:r>
        <w:rPr>
          <w:spacing w:val="-7"/>
          <w:sz w:val="22"/>
        </w:rPr>
        <w:t> </w:t>
      </w:r>
      <w:r>
        <w:rPr>
          <w:sz w:val="22"/>
        </w:rPr>
        <w:t>approval</w:t>
      </w:r>
      <w:r>
        <w:rPr>
          <w:spacing w:val="-6"/>
          <w:sz w:val="22"/>
        </w:rPr>
        <w:t> </w:t>
      </w:r>
      <w:r>
        <w:rPr>
          <w:sz w:val="22"/>
        </w:rPr>
        <w:t>process.</w:t>
      </w:r>
    </w:p>
    <w:p>
      <w:pPr>
        <w:pStyle w:val="ListParagraph"/>
        <w:numPr>
          <w:ilvl w:val="1"/>
          <w:numId w:val="1"/>
        </w:numPr>
        <w:tabs>
          <w:tab w:pos="1201" w:val="left" w:leader="none"/>
        </w:tabs>
        <w:spacing w:line="252" w:lineRule="exact" w:before="0" w:after="0"/>
        <w:ind w:left="1200" w:right="0" w:hanging="361"/>
        <w:jc w:val="both"/>
        <w:rPr>
          <w:sz w:val="22"/>
        </w:rPr>
      </w:pPr>
      <w:r>
        <w:rPr>
          <w:sz w:val="22"/>
        </w:rPr>
        <w:t>The TPA will provide an updated MPN listing to the City upon</w:t>
      </w:r>
      <w:r>
        <w:rPr>
          <w:spacing w:val="-10"/>
          <w:sz w:val="22"/>
        </w:rPr>
        <w:t> </w:t>
      </w:r>
      <w:r>
        <w:rPr>
          <w:sz w:val="22"/>
        </w:rPr>
        <w:t>update.</w:t>
      </w:r>
    </w:p>
    <w:p>
      <w:pPr>
        <w:pStyle w:val="BodyText"/>
        <w:spacing w:before="10"/>
        <w:rPr>
          <w:sz w:val="21"/>
        </w:rPr>
      </w:pPr>
    </w:p>
    <w:p>
      <w:pPr>
        <w:pStyle w:val="Heading4"/>
        <w:numPr>
          <w:ilvl w:val="0"/>
          <w:numId w:val="1"/>
        </w:numPr>
        <w:tabs>
          <w:tab w:pos="840" w:val="left" w:leader="none"/>
        </w:tabs>
        <w:spacing w:line="240" w:lineRule="auto" w:before="0" w:after="0"/>
        <w:ind w:left="840" w:right="0" w:hanging="360"/>
        <w:jc w:val="left"/>
      </w:pPr>
      <w:r>
        <w:rPr>
          <w:rFonts w:ascii="Times New Roman"/>
          <w:b w:val="0"/>
          <w:spacing w:val="-55"/>
          <w:w w:val="100"/>
          <w:u w:val="thick"/>
        </w:rPr>
        <w:t> </w:t>
      </w:r>
      <w:r>
        <w:rPr>
          <w:u w:val="thick"/>
        </w:rPr>
        <w:t>Medical</w:t>
      </w:r>
      <w:r>
        <w:rPr>
          <w:spacing w:val="1"/>
          <w:u w:val="thick"/>
        </w:rPr>
        <w:t> </w:t>
      </w:r>
      <w:r>
        <w:rPr>
          <w:u w:val="thick"/>
        </w:rPr>
        <w:t>Payments</w:t>
      </w:r>
    </w:p>
    <w:p>
      <w:pPr>
        <w:pStyle w:val="BodyText"/>
        <w:spacing w:before="11"/>
        <w:rPr>
          <w:b/>
          <w:sz w:val="13"/>
        </w:rPr>
      </w:pPr>
    </w:p>
    <w:p>
      <w:pPr>
        <w:pStyle w:val="BodyText"/>
        <w:spacing w:before="93"/>
        <w:ind w:left="840" w:right="482"/>
        <w:jc w:val="both"/>
      </w:pPr>
      <w:r>
        <w:rPr/>
        <w:t>Medical</w:t>
      </w:r>
      <w:r>
        <w:rPr>
          <w:spacing w:val="-5"/>
        </w:rPr>
        <w:t> </w:t>
      </w:r>
      <w:r>
        <w:rPr/>
        <w:t>bills</w:t>
      </w:r>
      <w:r>
        <w:rPr>
          <w:spacing w:val="-3"/>
        </w:rPr>
        <w:t> </w:t>
      </w:r>
      <w:r>
        <w:rPr/>
        <w:t>will</w:t>
      </w:r>
      <w:r>
        <w:rPr>
          <w:spacing w:val="-5"/>
        </w:rPr>
        <w:t> </w:t>
      </w:r>
      <w:r>
        <w:rPr/>
        <w:t>be</w:t>
      </w:r>
      <w:r>
        <w:rPr>
          <w:spacing w:val="-5"/>
        </w:rPr>
        <w:t> </w:t>
      </w:r>
      <w:r>
        <w:rPr/>
        <w:t>reviewed</w:t>
      </w:r>
      <w:r>
        <w:rPr>
          <w:spacing w:val="-5"/>
        </w:rPr>
        <w:t> </w:t>
      </w:r>
      <w:r>
        <w:rPr/>
        <w:t>by</w:t>
      </w:r>
      <w:r>
        <w:rPr>
          <w:spacing w:val="-7"/>
        </w:rPr>
        <w:t> </w:t>
      </w:r>
      <w:r>
        <w:rPr/>
        <w:t>the</w:t>
      </w:r>
      <w:r>
        <w:rPr>
          <w:spacing w:val="-5"/>
        </w:rPr>
        <w:t> </w:t>
      </w:r>
      <w:r>
        <w:rPr/>
        <w:t>assigned</w:t>
      </w:r>
      <w:r>
        <w:rPr>
          <w:spacing w:val="-5"/>
        </w:rPr>
        <w:t> </w:t>
      </w:r>
      <w:r>
        <w:rPr/>
        <w:t>claims</w:t>
      </w:r>
      <w:r>
        <w:rPr>
          <w:spacing w:val="-4"/>
        </w:rPr>
        <w:t> </w:t>
      </w:r>
      <w:r>
        <w:rPr/>
        <w:t>examiner,</w:t>
      </w:r>
      <w:r>
        <w:rPr>
          <w:spacing w:val="-7"/>
        </w:rPr>
        <w:t> </w:t>
      </w:r>
      <w:r>
        <w:rPr/>
        <w:t>or</w:t>
      </w:r>
      <w:r>
        <w:rPr>
          <w:spacing w:val="-5"/>
        </w:rPr>
        <w:t> </w:t>
      </w:r>
      <w:r>
        <w:rPr/>
        <w:t>supervisor</w:t>
      </w:r>
      <w:r>
        <w:rPr>
          <w:spacing w:val="-6"/>
        </w:rPr>
        <w:t> </w:t>
      </w:r>
      <w:r>
        <w:rPr/>
        <w:t>for</w:t>
      </w:r>
      <w:r>
        <w:rPr>
          <w:spacing w:val="-5"/>
        </w:rPr>
        <w:t> </w:t>
      </w:r>
      <w:r>
        <w:rPr/>
        <w:t>correctness, approved</w:t>
      </w:r>
      <w:r>
        <w:rPr>
          <w:spacing w:val="-6"/>
        </w:rPr>
        <w:t> </w:t>
      </w:r>
      <w:r>
        <w:rPr/>
        <w:t>for</w:t>
      </w:r>
      <w:r>
        <w:rPr>
          <w:spacing w:val="-4"/>
        </w:rPr>
        <w:t> </w:t>
      </w:r>
      <w:r>
        <w:rPr/>
        <w:t>payment,</w:t>
      </w:r>
      <w:r>
        <w:rPr>
          <w:spacing w:val="-4"/>
        </w:rPr>
        <w:t> </w:t>
      </w:r>
      <w:r>
        <w:rPr/>
        <w:t>and</w:t>
      </w:r>
      <w:r>
        <w:rPr>
          <w:spacing w:val="-4"/>
        </w:rPr>
        <w:t> </w:t>
      </w:r>
      <w:r>
        <w:rPr/>
        <w:t>paid</w:t>
      </w:r>
      <w:r>
        <w:rPr>
          <w:spacing w:val="-4"/>
        </w:rPr>
        <w:t> </w:t>
      </w:r>
      <w:r>
        <w:rPr/>
        <w:t>within</w:t>
      </w:r>
      <w:r>
        <w:rPr>
          <w:spacing w:val="-5"/>
        </w:rPr>
        <w:t> </w:t>
      </w:r>
      <w:r>
        <w:rPr/>
        <w:t>time</w:t>
      </w:r>
      <w:r>
        <w:rPr>
          <w:spacing w:val="-6"/>
        </w:rPr>
        <w:t> </w:t>
      </w:r>
      <w:r>
        <w:rPr/>
        <w:t>limits</w:t>
      </w:r>
      <w:r>
        <w:rPr>
          <w:spacing w:val="-9"/>
        </w:rPr>
        <w:t> </w:t>
      </w:r>
      <w:r>
        <w:rPr/>
        <w:t>established</w:t>
      </w:r>
      <w:r>
        <w:rPr>
          <w:spacing w:val="-3"/>
        </w:rPr>
        <w:t> </w:t>
      </w:r>
      <w:r>
        <w:rPr/>
        <w:t>by</w:t>
      </w:r>
      <w:r>
        <w:rPr>
          <w:spacing w:val="-6"/>
        </w:rPr>
        <w:t> </w:t>
      </w:r>
      <w:r>
        <w:rPr/>
        <w:t>Labor</w:t>
      </w:r>
      <w:r>
        <w:rPr>
          <w:spacing w:val="-4"/>
        </w:rPr>
        <w:t> </w:t>
      </w:r>
      <w:r>
        <w:rPr/>
        <w:t>Code</w:t>
      </w:r>
      <w:r>
        <w:rPr>
          <w:spacing w:val="-4"/>
        </w:rPr>
        <w:t> </w:t>
      </w:r>
      <w:r>
        <w:rPr/>
        <w:t>Section</w:t>
      </w:r>
      <w:r>
        <w:rPr>
          <w:spacing w:val="-4"/>
        </w:rPr>
        <w:t> </w:t>
      </w:r>
      <w:r>
        <w:rPr/>
        <w:t>4603.2. If all or part of the bill is being disputed, the TPA will notify the medical provider, on the appropriate form letter, within time limits established by Labor Code Section</w:t>
      </w:r>
      <w:r>
        <w:rPr>
          <w:spacing w:val="-13"/>
        </w:rPr>
        <w:t> </w:t>
      </w:r>
      <w:r>
        <w:rPr/>
        <w:t>4603.2.</w:t>
      </w:r>
    </w:p>
    <w:p>
      <w:pPr>
        <w:pStyle w:val="BodyText"/>
      </w:pPr>
    </w:p>
    <w:p>
      <w:pPr>
        <w:pStyle w:val="BodyText"/>
        <w:ind w:left="840" w:right="480"/>
        <w:jc w:val="both"/>
      </w:pPr>
      <w:r>
        <w:rPr/>
        <w:t>The TPA shall ensure that medical bills are reduced to the Official Medical Fee Schedule (OMFS), the Inpatient Hospital Fee Schedule (IHFS), apply discounts provided by Preferred Providers Organization (PPO) providers, and recommended rates established by the Administrative Director of Workers’ Compensation. The use of a service contractor is acceptable provided approval is first obtained from the City. The City shall pay for the use and benefits of the services provided; however, fees charged by the service contractor shall have</w:t>
      </w:r>
      <w:r>
        <w:rPr>
          <w:spacing w:val="-6"/>
        </w:rPr>
        <w:t> </w:t>
      </w:r>
      <w:r>
        <w:rPr/>
        <w:t>been</w:t>
      </w:r>
      <w:r>
        <w:rPr>
          <w:spacing w:val="-6"/>
        </w:rPr>
        <w:t> </w:t>
      </w:r>
      <w:r>
        <w:rPr/>
        <w:t>approved</w:t>
      </w:r>
      <w:r>
        <w:rPr>
          <w:spacing w:val="-6"/>
        </w:rPr>
        <w:t> </w:t>
      </w:r>
      <w:r>
        <w:rPr/>
        <w:t>by</w:t>
      </w:r>
      <w:r>
        <w:rPr>
          <w:spacing w:val="-9"/>
        </w:rPr>
        <w:t> </w:t>
      </w:r>
      <w:r>
        <w:rPr/>
        <w:t>the</w:t>
      </w:r>
      <w:r>
        <w:rPr>
          <w:spacing w:val="-6"/>
        </w:rPr>
        <w:t> </w:t>
      </w:r>
      <w:r>
        <w:rPr/>
        <w:t>City</w:t>
      </w:r>
      <w:r>
        <w:rPr>
          <w:spacing w:val="-8"/>
        </w:rPr>
        <w:t> </w:t>
      </w:r>
      <w:r>
        <w:rPr/>
        <w:t>prior</w:t>
      </w:r>
      <w:r>
        <w:rPr>
          <w:spacing w:val="-6"/>
        </w:rPr>
        <w:t> </w:t>
      </w:r>
      <w:r>
        <w:rPr/>
        <w:t>to</w:t>
      </w:r>
      <w:r>
        <w:rPr>
          <w:spacing w:val="-8"/>
        </w:rPr>
        <w:t> </w:t>
      </w:r>
      <w:r>
        <w:rPr/>
        <w:t>the</w:t>
      </w:r>
      <w:r>
        <w:rPr>
          <w:spacing w:val="-10"/>
        </w:rPr>
        <w:t> </w:t>
      </w:r>
      <w:r>
        <w:rPr/>
        <w:t>provision</w:t>
      </w:r>
      <w:r>
        <w:rPr>
          <w:spacing w:val="-8"/>
        </w:rPr>
        <w:t> </w:t>
      </w:r>
      <w:r>
        <w:rPr/>
        <w:t>of</w:t>
      </w:r>
      <w:r>
        <w:rPr>
          <w:spacing w:val="-5"/>
        </w:rPr>
        <w:t> </w:t>
      </w:r>
      <w:r>
        <w:rPr/>
        <w:t>and</w:t>
      </w:r>
      <w:r>
        <w:rPr>
          <w:spacing w:val="-6"/>
        </w:rPr>
        <w:t> </w:t>
      </w:r>
      <w:r>
        <w:rPr/>
        <w:t>payment</w:t>
      </w:r>
      <w:r>
        <w:rPr>
          <w:spacing w:val="-6"/>
        </w:rPr>
        <w:t> </w:t>
      </w:r>
      <w:r>
        <w:rPr/>
        <w:t>for</w:t>
      </w:r>
      <w:r>
        <w:rPr>
          <w:spacing w:val="-6"/>
        </w:rPr>
        <w:t> </w:t>
      </w:r>
      <w:r>
        <w:rPr/>
        <w:t>services.</w:t>
      </w:r>
      <w:r>
        <w:rPr>
          <w:spacing w:val="51"/>
        </w:rPr>
        <w:t> </w:t>
      </w:r>
      <w:r>
        <w:rPr/>
        <w:t>Such</w:t>
      </w:r>
      <w:r>
        <w:rPr>
          <w:spacing w:val="-11"/>
        </w:rPr>
        <w:t> </w:t>
      </w:r>
      <w:r>
        <w:rPr/>
        <w:t>fees will be charged to the applicable claim file and will be paid from the medical</w:t>
      </w:r>
      <w:r>
        <w:rPr>
          <w:spacing w:val="-23"/>
        </w:rPr>
        <w:t> </w:t>
      </w:r>
      <w:r>
        <w:rPr/>
        <w:t>category.</w:t>
      </w:r>
    </w:p>
    <w:p>
      <w:pPr>
        <w:pStyle w:val="BodyText"/>
        <w:spacing w:before="1"/>
      </w:pPr>
    </w:p>
    <w:p>
      <w:pPr>
        <w:pStyle w:val="Heading4"/>
        <w:numPr>
          <w:ilvl w:val="0"/>
          <w:numId w:val="1"/>
        </w:numPr>
        <w:tabs>
          <w:tab w:pos="840" w:val="left" w:leader="none"/>
        </w:tabs>
        <w:spacing w:line="240" w:lineRule="auto" w:before="0" w:after="0"/>
        <w:ind w:left="840" w:right="0" w:hanging="360"/>
        <w:jc w:val="left"/>
      </w:pPr>
      <w:r>
        <w:rPr>
          <w:spacing w:val="-135"/>
          <w:u w:val="thick"/>
        </w:rPr>
        <w:t>T</w:t>
      </w:r>
      <w:r>
        <w:rPr>
          <w:spacing w:val="73"/>
        </w:rPr>
        <w:t> </w:t>
      </w:r>
      <w:r>
        <w:rPr>
          <w:u w:val="thick"/>
        </w:rPr>
        <w:t>ransportation</w:t>
      </w:r>
      <w:r>
        <w:rPr>
          <w:spacing w:val="-2"/>
          <w:u w:val="thick"/>
        </w:rPr>
        <w:t> </w:t>
      </w:r>
      <w:r>
        <w:rPr>
          <w:u w:val="thick"/>
        </w:rPr>
        <w:t>Expense</w:t>
      </w:r>
    </w:p>
    <w:p>
      <w:pPr>
        <w:pStyle w:val="BodyText"/>
        <w:spacing w:before="11"/>
        <w:rPr>
          <w:b/>
          <w:sz w:val="13"/>
        </w:rPr>
      </w:pPr>
    </w:p>
    <w:p>
      <w:pPr>
        <w:pStyle w:val="BodyText"/>
        <w:spacing w:before="93"/>
        <w:ind w:left="840" w:right="481"/>
        <w:jc w:val="both"/>
      </w:pPr>
      <w:r>
        <w:rPr/>
        <w:t>Transportation reimbursement will be mailed within fifteen calendar days of the receipt of the claim for reimbursement. Upon sufficient notice, advance travel payments will be mailed to the injured employee at least ten calendar days prior to the anticipated date of travel.</w:t>
      </w:r>
    </w:p>
    <w:p>
      <w:pPr>
        <w:pStyle w:val="BodyText"/>
        <w:spacing w:before="9"/>
        <w:rPr>
          <w:sz w:val="13"/>
        </w:rPr>
      </w:pPr>
    </w:p>
    <w:p>
      <w:pPr>
        <w:pStyle w:val="Heading4"/>
        <w:numPr>
          <w:ilvl w:val="0"/>
          <w:numId w:val="1"/>
        </w:numPr>
        <w:tabs>
          <w:tab w:pos="840" w:val="left" w:leader="none"/>
        </w:tabs>
        <w:spacing w:line="240" w:lineRule="auto" w:before="93" w:after="0"/>
        <w:ind w:left="840" w:right="0" w:hanging="360"/>
        <w:jc w:val="left"/>
      </w:pPr>
      <w:r>
        <w:rPr>
          <w:spacing w:val="-160"/>
          <w:u w:val="thick"/>
        </w:rPr>
        <w:t>R</w:t>
      </w:r>
      <w:r>
        <w:rPr>
          <w:spacing w:val="100"/>
        </w:rPr>
        <w:t> </w:t>
      </w:r>
      <w:r>
        <w:rPr>
          <w:u w:val="thick"/>
        </w:rPr>
        <w:t>eturn-to-Work</w:t>
      </w:r>
    </w:p>
    <w:p>
      <w:pPr>
        <w:pStyle w:val="BodyText"/>
        <w:spacing w:before="11"/>
        <w:rPr>
          <w:b/>
          <w:sz w:val="13"/>
        </w:rPr>
      </w:pPr>
    </w:p>
    <w:p>
      <w:pPr>
        <w:pStyle w:val="BodyText"/>
        <w:spacing w:before="93"/>
        <w:ind w:left="840" w:right="481"/>
        <w:jc w:val="both"/>
      </w:pPr>
      <w:r>
        <w:rPr/>
        <w:t>The</w:t>
      </w:r>
      <w:r>
        <w:rPr>
          <w:spacing w:val="-19"/>
        </w:rPr>
        <w:t> </w:t>
      </w:r>
      <w:r>
        <w:rPr/>
        <w:t>TPA</w:t>
      </w:r>
      <w:r>
        <w:rPr>
          <w:spacing w:val="-14"/>
        </w:rPr>
        <w:t> </w:t>
      </w:r>
      <w:r>
        <w:rPr/>
        <w:t>shall</w:t>
      </w:r>
      <w:r>
        <w:rPr>
          <w:spacing w:val="-14"/>
        </w:rPr>
        <w:t> </w:t>
      </w:r>
      <w:r>
        <w:rPr/>
        <w:t>provide</w:t>
      </w:r>
      <w:r>
        <w:rPr>
          <w:spacing w:val="-13"/>
        </w:rPr>
        <w:t> </w:t>
      </w:r>
      <w:r>
        <w:rPr/>
        <w:t>assistance</w:t>
      </w:r>
      <w:r>
        <w:rPr>
          <w:spacing w:val="-15"/>
        </w:rPr>
        <w:t> </w:t>
      </w:r>
      <w:r>
        <w:rPr/>
        <w:t>to</w:t>
      </w:r>
      <w:r>
        <w:rPr>
          <w:spacing w:val="-14"/>
        </w:rPr>
        <w:t> </w:t>
      </w:r>
      <w:r>
        <w:rPr/>
        <w:t>the</w:t>
      </w:r>
      <w:r>
        <w:rPr>
          <w:spacing w:val="-16"/>
        </w:rPr>
        <w:t> </w:t>
      </w:r>
      <w:r>
        <w:rPr/>
        <w:t>City</w:t>
      </w:r>
      <w:r>
        <w:rPr>
          <w:spacing w:val="-15"/>
        </w:rPr>
        <w:t> </w:t>
      </w:r>
      <w:r>
        <w:rPr/>
        <w:t>in</w:t>
      </w:r>
      <w:r>
        <w:rPr>
          <w:spacing w:val="-12"/>
        </w:rPr>
        <w:t> </w:t>
      </w:r>
      <w:r>
        <w:rPr/>
        <w:t>establishing</w:t>
      </w:r>
      <w:r>
        <w:rPr>
          <w:spacing w:val="-12"/>
        </w:rPr>
        <w:t> </w:t>
      </w:r>
      <w:r>
        <w:rPr/>
        <w:t>a</w:t>
      </w:r>
      <w:r>
        <w:rPr>
          <w:spacing w:val="-15"/>
        </w:rPr>
        <w:t> </w:t>
      </w:r>
      <w:r>
        <w:rPr/>
        <w:t>modified</w:t>
      </w:r>
      <w:r>
        <w:rPr>
          <w:spacing w:val="-14"/>
        </w:rPr>
        <w:t> </w:t>
      </w:r>
      <w:r>
        <w:rPr/>
        <w:t>return-to-work</w:t>
      </w:r>
      <w:r>
        <w:rPr>
          <w:spacing w:val="-13"/>
        </w:rPr>
        <w:t> </w:t>
      </w:r>
      <w:r>
        <w:rPr/>
        <w:t>program that is appropriate for injured employees while recovering and prior to their return to regular duties.</w:t>
      </w:r>
    </w:p>
    <w:p>
      <w:pPr>
        <w:pStyle w:val="BodyText"/>
        <w:spacing w:before="1"/>
      </w:pPr>
    </w:p>
    <w:p>
      <w:pPr>
        <w:pStyle w:val="BodyText"/>
        <w:ind w:left="840" w:right="481"/>
        <w:jc w:val="both"/>
      </w:pPr>
      <w:r>
        <w:rPr/>
        <w:t>The TPA shall consult with the City within two business days of becoming aware of work restrictions</w:t>
      </w:r>
      <w:r>
        <w:rPr>
          <w:spacing w:val="-11"/>
        </w:rPr>
        <w:t> </w:t>
      </w:r>
      <w:r>
        <w:rPr/>
        <w:t>and</w:t>
      </w:r>
      <w:r>
        <w:rPr>
          <w:spacing w:val="-10"/>
        </w:rPr>
        <w:t> </w:t>
      </w:r>
      <w:r>
        <w:rPr/>
        <w:t>shall</w:t>
      </w:r>
      <w:r>
        <w:rPr>
          <w:spacing w:val="-12"/>
        </w:rPr>
        <w:t> </w:t>
      </w:r>
      <w:r>
        <w:rPr/>
        <w:t>remain</w:t>
      </w:r>
      <w:r>
        <w:rPr>
          <w:spacing w:val="-9"/>
        </w:rPr>
        <w:t> </w:t>
      </w:r>
      <w:r>
        <w:rPr/>
        <w:t>in</w:t>
      </w:r>
      <w:r>
        <w:rPr>
          <w:spacing w:val="-12"/>
        </w:rPr>
        <w:t> </w:t>
      </w:r>
      <w:r>
        <w:rPr/>
        <w:t>contact</w:t>
      </w:r>
      <w:r>
        <w:rPr>
          <w:spacing w:val="-8"/>
        </w:rPr>
        <w:t> </w:t>
      </w:r>
      <w:r>
        <w:rPr/>
        <w:t>with</w:t>
      </w:r>
      <w:r>
        <w:rPr>
          <w:spacing w:val="-8"/>
        </w:rPr>
        <w:t> </w:t>
      </w:r>
      <w:r>
        <w:rPr/>
        <w:t>the</w:t>
      </w:r>
      <w:r>
        <w:rPr>
          <w:spacing w:val="-10"/>
        </w:rPr>
        <w:t> </w:t>
      </w:r>
      <w:r>
        <w:rPr/>
        <w:t>City</w:t>
      </w:r>
      <w:r>
        <w:rPr>
          <w:spacing w:val="-11"/>
        </w:rPr>
        <w:t> </w:t>
      </w:r>
      <w:r>
        <w:rPr/>
        <w:t>every</w:t>
      </w:r>
      <w:r>
        <w:rPr>
          <w:spacing w:val="-10"/>
        </w:rPr>
        <w:t> </w:t>
      </w:r>
      <w:r>
        <w:rPr/>
        <w:t>other</w:t>
      </w:r>
      <w:r>
        <w:rPr>
          <w:spacing w:val="-11"/>
        </w:rPr>
        <w:t> </w:t>
      </w:r>
      <w:r>
        <w:rPr/>
        <w:t>week</w:t>
      </w:r>
      <w:r>
        <w:rPr>
          <w:spacing w:val="-9"/>
        </w:rPr>
        <w:t> </w:t>
      </w:r>
      <w:r>
        <w:rPr/>
        <w:t>until</w:t>
      </w:r>
      <w:r>
        <w:rPr>
          <w:spacing w:val="-9"/>
        </w:rPr>
        <w:t> </w:t>
      </w:r>
      <w:r>
        <w:rPr/>
        <w:t>such</w:t>
      </w:r>
      <w:r>
        <w:rPr>
          <w:spacing w:val="-10"/>
        </w:rPr>
        <w:t> </w:t>
      </w:r>
      <w:r>
        <w:rPr/>
        <w:t>time</w:t>
      </w:r>
      <w:r>
        <w:rPr>
          <w:spacing w:val="-12"/>
        </w:rPr>
        <w:t> </w:t>
      </w:r>
      <w:r>
        <w:rPr/>
        <w:t>as</w:t>
      </w:r>
      <w:r>
        <w:rPr>
          <w:spacing w:val="-12"/>
        </w:rPr>
        <w:t> </w:t>
      </w:r>
      <w:r>
        <w:rPr/>
        <w:t>return to work is achieved or</w:t>
      </w:r>
      <w:r>
        <w:rPr>
          <w:spacing w:val="4"/>
        </w:rPr>
        <w:t> </w:t>
      </w:r>
      <w:r>
        <w:rPr/>
        <w:t>vacated.</w:t>
      </w:r>
    </w:p>
    <w:p>
      <w:pPr>
        <w:pStyle w:val="BodyText"/>
        <w:spacing w:before="10"/>
        <w:rPr>
          <w:sz w:val="21"/>
        </w:rPr>
      </w:pPr>
    </w:p>
    <w:p>
      <w:pPr>
        <w:pStyle w:val="BodyText"/>
        <w:ind w:left="840" w:right="482"/>
        <w:jc w:val="both"/>
      </w:pPr>
      <w:r>
        <w:rPr/>
        <w:t>Should the City contract with a vendor to assist with return-to-work, the TPA shall cooperate with the assignment of cases or the provision of information in order to help facilitate a successful return-to-work program.</w:t>
      </w:r>
    </w:p>
    <w:p>
      <w:pPr>
        <w:pStyle w:val="BodyText"/>
      </w:pPr>
    </w:p>
    <w:p>
      <w:pPr>
        <w:pStyle w:val="Heading4"/>
        <w:numPr>
          <w:ilvl w:val="0"/>
          <w:numId w:val="1"/>
        </w:numPr>
        <w:tabs>
          <w:tab w:pos="840" w:val="left" w:leader="none"/>
        </w:tabs>
        <w:spacing w:line="240" w:lineRule="auto" w:before="1" w:after="0"/>
        <w:ind w:left="840" w:right="0" w:hanging="360"/>
        <w:jc w:val="left"/>
      </w:pPr>
      <w:r>
        <w:rPr>
          <w:spacing w:val="-147"/>
          <w:u w:val="thick"/>
        </w:rPr>
        <w:t>P</w:t>
      </w:r>
      <w:r>
        <w:rPr>
          <w:spacing w:val="87"/>
        </w:rPr>
        <w:t> </w:t>
      </w:r>
      <w:r>
        <w:rPr>
          <w:u w:val="thick"/>
        </w:rPr>
        <w:t>ermanent</w:t>
      </w:r>
      <w:r>
        <w:rPr>
          <w:spacing w:val="-1"/>
          <w:u w:val="thick"/>
        </w:rPr>
        <w:t> </w:t>
      </w:r>
      <w:r>
        <w:rPr>
          <w:u w:val="thick"/>
        </w:rPr>
        <w:t>Disability</w:t>
      </w:r>
    </w:p>
    <w:p>
      <w:pPr>
        <w:pStyle w:val="BodyText"/>
        <w:spacing w:before="10"/>
        <w:rPr>
          <w:b/>
          <w:sz w:val="13"/>
        </w:rPr>
      </w:pPr>
    </w:p>
    <w:p>
      <w:pPr>
        <w:pStyle w:val="BodyText"/>
        <w:spacing w:before="94"/>
        <w:ind w:left="840" w:right="481"/>
        <w:jc w:val="both"/>
      </w:pPr>
      <w:r>
        <w:rPr/>
        <w:t>The TPA shall arrange for an informal disability rating such as “speed rating” whenever possible to avoid Workers’ Compensation Appeals Board (WCAB) litigation. The TPA shall take advantage of any potential apportionment potential to prior claims, disabilities, and impairments. The TPA shall also advise the City of potential credits and penalties to permanent</w:t>
      </w:r>
      <w:r>
        <w:rPr>
          <w:spacing w:val="-5"/>
        </w:rPr>
        <w:t> </w:t>
      </w:r>
      <w:r>
        <w:rPr/>
        <w:t>disability</w:t>
      </w:r>
      <w:r>
        <w:rPr>
          <w:spacing w:val="-6"/>
        </w:rPr>
        <w:t> </w:t>
      </w:r>
      <w:r>
        <w:rPr/>
        <w:t>benefits</w:t>
      </w:r>
      <w:r>
        <w:rPr>
          <w:spacing w:val="-7"/>
        </w:rPr>
        <w:t> </w:t>
      </w:r>
      <w:r>
        <w:rPr/>
        <w:t>should</w:t>
      </w:r>
      <w:r>
        <w:rPr>
          <w:spacing w:val="-6"/>
        </w:rPr>
        <w:t> </w:t>
      </w:r>
      <w:r>
        <w:rPr/>
        <w:t>the</w:t>
      </w:r>
      <w:r>
        <w:rPr>
          <w:spacing w:val="-5"/>
        </w:rPr>
        <w:t> </w:t>
      </w:r>
      <w:r>
        <w:rPr/>
        <w:t>City</w:t>
      </w:r>
      <w:r>
        <w:rPr>
          <w:spacing w:val="-5"/>
        </w:rPr>
        <w:t> </w:t>
      </w:r>
      <w:r>
        <w:rPr/>
        <w:t>accommodate</w:t>
      </w:r>
      <w:r>
        <w:rPr>
          <w:spacing w:val="-5"/>
        </w:rPr>
        <w:t> </w:t>
      </w:r>
      <w:r>
        <w:rPr/>
        <w:t>permanent/alternative</w:t>
      </w:r>
      <w:r>
        <w:rPr>
          <w:spacing w:val="-5"/>
        </w:rPr>
        <w:t> </w:t>
      </w:r>
      <w:r>
        <w:rPr/>
        <w:t>work</w:t>
      </w:r>
      <w:r>
        <w:rPr>
          <w:spacing w:val="-5"/>
        </w:rPr>
        <w:t> </w:t>
      </w:r>
      <w:r>
        <w:rPr/>
        <w:t>for</w:t>
      </w:r>
      <w:r>
        <w:rPr>
          <w:spacing w:val="-5"/>
        </w:rPr>
        <w:t> </w:t>
      </w:r>
      <w:r>
        <w:rPr/>
        <w:t>at least twelve</w:t>
      </w:r>
      <w:r>
        <w:rPr>
          <w:spacing w:val="1"/>
        </w:rPr>
        <w:t> </w:t>
      </w:r>
      <w:r>
        <w:rPr/>
        <w:t>months.</w:t>
      </w:r>
    </w:p>
    <w:p>
      <w:pPr>
        <w:spacing w:after="0"/>
        <w:jc w:val="both"/>
        <w:sectPr>
          <w:pgSz w:w="12240" w:h="15840"/>
          <w:pgMar w:header="0" w:footer="1248" w:top="740" w:bottom="1440" w:left="960" w:right="960"/>
        </w:sectPr>
      </w:pPr>
    </w:p>
    <w:p>
      <w:pPr>
        <w:pStyle w:val="BodyText"/>
        <w:spacing w:before="63"/>
        <w:ind w:left="840" w:right="479"/>
        <w:jc w:val="both"/>
      </w:pPr>
      <w:r>
        <w:rPr/>
        <w:pict>
          <v:group style="position:absolute;margin-left:26.160002pt;margin-top:26.160002pt;width:561.85pt;height:741.85pt;mso-position-horizontal-relative:page;mso-position-vertical-relative:page;z-index:-253978624" coordorigin="523,523" coordsize="11237,14837">
            <v:line style="position:absolute" from="523,545" to="11674,545" stroked="true" strokeweight="2.159998pt" strokecolor="#000000">
              <v:stroke dashstyle="solid"/>
            </v:line>
            <v:rect style="position:absolute;left:11673;top:523;width:44;height:44" filled="true" fillcolor="#000000" stroked="false">
              <v:fill type="solid"/>
            </v:rect>
            <v:line style="position:absolute" from="545,566" to="545,15317" stroked="true" strokeweight="2.159998pt" strokecolor="#000000">
              <v:stroke dashstyle="solid"/>
            </v:line>
            <v:line style="position:absolute" from="11717,566" to="11717,15274" stroked="true" strokeweight="4.320008pt" strokecolor="#000000">
              <v:stroke dashstyle="solid"/>
            </v:line>
            <v:line style="position:absolute" from="566,15317" to="11674,15317" stroked="true" strokeweight="4.320008pt" strokecolor="#000000">
              <v:stroke dashstyle="solid"/>
            </v:line>
            <v:shape style="position:absolute;left:11673;top:15273;width:87;height:87" coordorigin="11674,15274" coordsize="87,87" path="m11760,15274l11717,15274,11674,15274,11674,15317,11674,15360,11717,15360,11760,15360,11760,15317,11760,15274e" filled="true" fillcolor="#000000" stroked="false">
              <v:path arrowok="t"/>
              <v:fill type="solid"/>
            </v:shape>
            <w10:wrap type="none"/>
          </v:group>
        </w:pict>
      </w:r>
      <w:r>
        <w:rPr/>
        <w:t>All permanent disability benefit notices shall be sent to the employee as required by the California Labor Code. Copies of benefit notices will be maintained in the applicable claim file.</w:t>
      </w:r>
    </w:p>
    <w:p>
      <w:pPr>
        <w:pStyle w:val="BodyText"/>
        <w:spacing w:before="1"/>
      </w:pPr>
    </w:p>
    <w:p>
      <w:pPr>
        <w:pStyle w:val="Heading4"/>
        <w:numPr>
          <w:ilvl w:val="0"/>
          <w:numId w:val="1"/>
        </w:numPr>
        <w:tabs>
          <w:tab w:pos="840" w:val="left" w:leader="none"/>
        </w:tabs>
        <w:spacing w:line="240" w:lineRule="auto" w:before="0" w:after="0"/>
        <w:ind w:left="840" w:right="0" w:hanging="360"/>
        <w:jc w:val="left"/>
      </w:pPr>
      <w:r>
        <w:rPr>
          <w:spacing w:val="-147"/>
          <w:u w:val="thick"/>
        </w:rPr>
        <w:t>V</w:t>
      </w:r>
      <w:r>
        <w:rPr>
          <w:spacing w:val="87"/>
        </w:rPr>
        <w:t> </w:t>
      </w:r>
      <w:r>
        <w:rPr>
          <w:u w:val="thick"/>
        </w:rPr>
        <w:t>ocational Rehabilitation/Supplemental Job Displacement</w:t>
      </w:r>
      <w:r>
        <w:rPr>
          <w:spacing w:val="-1"/>
          <w:u w:val="thick"/>
        </w:rPr>
        <w:t> </w:t>
      </w:r>
      <w:r>
        <w:rPr>
          <w:u w:val="thick"/>
        </w:rPr>
        <w:t>(SJD)</w:t>
      </w:r>
    </w:p>
    <w:p>
      <w:pPr>
        <w:pStyle w:val="BodyText"/>
        <w:spacing w:before="8"/>
        <w:rPr>
          <w:b/>
          <w:sz w:val="13"/>
        </w:rPr>
      </w:pPr>
    </w:p>
    <w:p>
      <w:pPr>
        <w:pStyle w:val="BodyText"/>
        <w:spacing w:before="93"/>
        <w:ind w:left="840"/>
      </w:pPr>
      <w:r>
        <w:rPr/>
        <w:t>In accordance with all applicable California laws in place at the date of injury, the TPA shall:</w:t>
      </w:r>
    </w:p>
    <w:p>
      <w:pPr>
        <w:pStyle w:val="BodyText"/>
        <w:spacing w:before="1"/>
      </w:pPr>
    </w:p>
    <w:p>
      <w:pPr>
        <w:pStyle w:val="ListParagraph"/>
        <w:numPr>
          <w:ilvl w:val="1"/>
          <w:numId w:val="1"/>
        </w:numPr>
        <w:tabs>
          <w:tab w:pos="1201" w:val="left" w:leader="none"/>
        </w:tabs>
        <w:spacing w:line="240" w:lineRule="auto" w:before="0" w:after="0"/>
        <w:ind w:left="1200" w:right="0" w:hanging="361"/>
        <w:jc w:val="left"/>
        <w:rPr>
          <w:sz w:val="22"/>
        </w:rPr>
      </w:pPr>
      <w:r>
        <w:rPr>
          <w:sz w:val="22"/>
        </w:rPr>
        <w:t>Determine the Qualified Inured Worker/Non-Qualified Injured Worker</w:t>
      </w:r>
      <w:r>
        <w:rPr>
          <w:spacing w:val="-24"/>
          <w:sz w:val="22"/>
        </w:rPr>
        <w:t> </w:t>
      </w:r>
      <w:r>
        <w:rPr>
          <w:sz w:val="22"/>
        </w:rPr>
        <w:t>status;</w:t>
      </w:r>
    </w:p>
    <w:p>
      <w:pPr>
        <w:pStyle w:val="ListParagraph"/>
        <w:numPr>
          <w:ilvl w:val="1"/>
          <w:numId w:val="1"/>
        </w:numPr>
        <w:tabs>
          <w:tab w:pos="1201" w:val="left" w:leader="none"/>
        </w:tabs>
        <w:spacing w:line="252" w:lineRule="exact" w:before="1" w:after="0"/>
        <w:ind w:left="1200" w:right="0" w:hanging="361"/>
        <w:jc w:val="left"/>
        <w:rPr>
          <w:sz w:val="22"/>
        </w:rPr>
      </w:pPr>
      <w:r>
        <w:rPr>
          <w:sz w:val="22"/>
        </w:rPr>
        <w:t>Advise the injured worker of his/her right to rehabilitation or SJD</w:t>
      </w:r>
      <w:r>
        <w:rPr>
          <w:spacing w:val="-11"/>
          <w:sz w:val="22"/>
        </w:rPr>
        <w:t> </w:t>
      </w:r>
      <w:r>
        <w:rPr>
          <w:sz w:val="22"/>
        </w:rPr>
        <w:t>benefits;</w:t>
      </w:r>
    </w:p>
    <w:p>
      <w:pPr>
        <w:pStyle w:val="ListParagraph"/>
        <w:numPr>
          <w:ilvl w:val="1"/>
          <w:numId w:val="1"/>
        </w:numPr>
        <w:tabs>
          <w:tab w:pos="1200" w:val="left" w:leader="none"/>
        </w:tabs>
        <w:spacing w:line="252" w:lineRule="exact" w:before="0" w:after="0"/>
        <w:ind w:left="1199" w:right="0" w:hanging="360"/>
        <w:jc w:val="left"/>
        <w:rPr>
          <w:sz w:val="22"/>
        </w:rPr>
      </w:pPr>
      <w:r>
        <w:rPr>
          <w:sz w:val="22"/>
        </w:rPr>
        <w:t>Provide appropriate vocational rehabilitation/SJD</w:t>
      </w:r>
      <w:r>
        <w:rPr>
          <w:spacing w:val="-2"/>
          <w:sz w:val="22"/>
        </w:rPr>
        <w:t> </w:t>
      </w:r>
      <w:r>
        <w:rPr>
          <w:sz w:val="22"/>
        </w:rPr>
        <w:t>benefits;</w:t>
      </w:r>
    </w:p>
    <w:p>
      <w:pPr>
        <w:pStyle w:val="ListParagraph"/>
        <w:numPr>
          <w:ilvl w:val="1"/>
          <w:numId w:val="1"/>
        </w:numPr>
        <w:tabs>
          <w:tab w:pos="1201" w:val="left" w:leader="none"/>
        </w:tabs>
        <w:spacing w:line="252" w:lineRule="exact" w:before="0" w:after="0"/>
        <w:ind w:left="1200" w:right="0" w:hanging="361"/>
        <w:jc w:val="left"/>
        <w:rPr>
          <w:sz w:val="22"/>
        </w:rPr>
      </w:pPr>
      <w:r>
        <w:rPr>
          <w:sz w:val="22"/>
        </w:rPr>
        <w:t>Control rehabilitation and SJD</w:t>
      </w:r>
      <w:r>
        <w:rPr>
          <w:spacing w:val="-1"/>
          <w:sz w:val="22"/>
        </w:rPr>
        <w:t> </w:t>
      </w:r>
      <w:r>
        <w:rPr>
          <w:sz w:val="22"/>
        </w:rPr>
        <w:t>costs;</w:t>
      </w:r>
    </w:p>
    <w:p>
      <w:pPr>
        <w:pStyle w:val="ListParagraph"/>
        <w:numPr>
          <w:ilvl w:val="1"/>
          <w:numId w:val="1"/>
        </w:numPr>
        <w:tabs>
          <w:tab w:pos="1201" w:val="left" w:leader="none"/>
        </w:tabs>
        <w:spacing w:line="252" w:lineRule="exact" w:before="2" w:after="0"/>
        <w:ind w:left="1200" w:right="0" w:hanging="361"/>
        <w:jc w:val="left"/>
        <w:rPr>
          <w:sz w:val="22"/>
        </w:rPr>
      </w:pPr>
      <w:r>
        <w:rPr>
          <w:sz w:val="22"/>
        </w:rPr>
        <w:t>Attempt to secure the prompt conclusion of vocational rehabilitation benefits/SJD;</w:t>
      </w:r>
      <w:r>
        <w:rPr>
          <w:spacing w:val="-11"/>
          <w:sz w:val="22"/>
        </w:rPr>
        <w:t> </w:t>
      </w:r>
      <w:r>
        <w:rPr>
          <w:sz w:val="22"/>
        </w:rPr>
        <w:t>and</w:t>
      </w:r>
    </w:p>
    <w:p>
      <w:pPr>
        <w:pStyle w:val="ListParagraph"/>
        <w:numPr>
          <w:ilvl w:val="1"/>
          <w:numId w:val="1"/>
        </w:numPr>
        <w:tabs>
          <w:tab w:pos="1200" w:val="left" w:leader="none"/>
          <w:tab w:pos="1201" w:val="left" w:leader="none"/>
        </w:tabs>
        <w:spacing w:line="240" w:lineRule="auto" w:before="0" w:after="0"/>
        <w:ind w:left="1200" w:right="479" w:hanging="360"/>
        <w:jc w:val="left"/>
        <w:rPr>
          <w:sz w:val="22"/>
        </w:rPr>
      </w:pPr>
      <w:r>
        <w:rPr>
          <w:sz w:val="22"/>
        </w:rPr>
        <w:t>Provide notification to the City should work restrictions require a permanent or modified accommodation.</w:t>
      </w:r>
    </w:p>
    <w:p>
      <w:pPr>
        <w:pStyle w:val="BodyText"/>
        <w:spacing w:before="9"/>
        <w:rPr>
          <w:sz w:val="13"/>
        </w:rPr>
      </w:pPr>
    </w:p>
    <w:p>
      <w:pPr>
        <w:pStyle w:val="Heading4"/>
        <w:numPr>
          <w:ilvl w:val="0"/>
          <w:numId w:val="1"/>
        </w:numPr>
        <w:tabs>
          <w:tab w:pos="840" w:val="left" w:leader="none"/>
        </w:tabs>
        <w:spacing w:line="240" w:lineRule="auto" w:before="93" w:after="0"/>
        <w:ind w:left="840" w:right="0" w:hanging="360"/>
        <w:jc w:val="left"/>
      </w:pPr>
      <w:r>
        <w:rPr>
          <w:spacing w:val="-160"/>
          <w:u w:val="thick"/>
        </w:rPr>
        <w:t>D</w:t>
      </w:r>
      <w:r>
        <w:rPr>
          <w:spacing w:val="101"/>
        </w:rPr>
        <w:t> </w:t>
      </w:r>
      <w:r>
        <w:rPr>
          <w:u w:val="thick"/>
        </w:rPr>
        <w:t>iary</w:t>
      </w:r>
      <w:r>
        <w:rPr>
          <w:spacing w:val="-3"/>
          <w:u w:val="thick"/>
        </w:rPr>
        <w:t> </w:t>
      </w:r>
      <w:r>
        <w:rPr>
          <w:u w:val="thick"/>
        </w:rPr>
        <w:t>Review</w:t>
      </w:r>
    </w:p>
    <w:p>
      <w:pPr>
        <w:pStyle w:val="BodyText"/>
        <w:spacing w:before="11"/>
        <w:rPr>
          <w:b/>
          <w:sz w:val="13"/>
        </w:rPr>
      </w:pPr>
    </w:p>
    <w:p>
      <w:pPr>
        <w:pStyle w:val="BodyText"/>
        <w:spacing w:before="93"/>
        <w:ind w:left="840" w:right="479"/>
        <w:jc w:val="both"/>
      </w:pPr>
      <w:r>
        <w:rPr/>
        <w:t>All claim files shall be reviewed at least every 45 calendar days for active claims and at least every 90 days for claims that have settled but are open for the employee’s future medical care. The examiner shall distinguish the regular diary review from routine file</w:t>
      </w:r>
      <w:r>
        <w:rPr>
          <w:spacing w:val="-30"/>
        </w:rPr>
        <w:t> </w:t>
      </w:r>
      <w:r>
        <w:rPr/>
        <w:t>documentation in the electronic notes. A plan of action will be included and separately labeled in the file notes during a diary review. The plan of action shall include, but not be limited to, the employee’s</w:t>
      </w:r>
      <w:r>
        <w:rPr>
          <w:spacing w:val="-16"/>
        </w:rPr>
        <w:t> </w:t>
      </w:r>
      <w:r>
        <w:rPr/>
        <w:t>current</w:t>
      </w:r>
      <w:r>
        <w:rPr>
          <w:spacing w:val="-13"/>
        </w:rPr>
        <w:t> </w:t>
      </w:r>
      <w:r>
        <w:rPr/>
        <w:t>work</w:t>
      </w:r>
      <w:r>
        <w:rPr>
          <w:spacing w:val="-13"/>
        </w:rPr>
        <w:t> </w:t>
      </w:r>
      <w:r>
        <w:rPr/>
        <w:t>status,</w:t>
      </w:r>
      <w:r>
        <w:rPr>
          <w:spacing w:val="-15"/>
        </w:rPr>
        <w:t> </w:t>
      </w:r>
      <w:r>
        <w:rPr/>
        <w:t>medical</w:t>
      </w:r>
      <w:r>
        <w:rPr>
          <w:spacing w:val="-15"/>
        </w:rPr>
        <w:t> </w:t>
      </w:r>
      <w:r>
        <w:rPr/>
        <w:t>status,</w:t>
      </w:r>
      <w:r>
        <w:rPr>
          <w:spacing w:val="-15"/>
        </w:rPr>
        <w:t> </w:t>
      </w:r>
      <w:r>
        <w:rPr/>
        <w:t>review</w:t>
      </w:r>
      <w:r>
        <w:rPr>
          <w:spacing w:val="-18"/>
        </w:rPr>
        <w:t> </w:t>
      </w:r>
      <w:r>
        <w:rPr/>
        <w:t>of</w:t>
      </w:r>
      <w:r>
        <w:rPr>
          <w:spacing w:val="-12"/>
        </w:rPr>
        <w:t> </w:t>
      </w:r>
      <w:r>
        <w:rPr/>
        <w:t>reserves,</w:t>
      </w:r>
      <w:r>
        <w:rPr>
          <w:spacing w:val="-15"/>
        </w:rPr>
        <w:t> </w:t>
      </w:r>
      <w:r>
        <w:rPr/>
        <w:t>and</w:t>
      </w:r>
      <w:r>
        <w:rPr>
          <w:spacing w:val="-16"/>
        </w:rPr>
        <w:t> </w:t>
      </w:r>
      <w:r>
        <w:rPr/>
        <w:t>future</w:t>
      </w:r>
      <w:r>
        <w:rPr>
          <w:spacing w:val="-13"/>
        </w:rPr>
        <w:t> </w:t>
      </w:r>
      <w:r>
        <w:rPr/>
        <w:t>activity</w:t>
      </w:r>
      <w:r>
        <w:rPr>
          <w:spacing w:val="-15"/>
        </w:rPr>
        <w:t> </w:t>
      </w:r>
      <w:r>
        <w:rPr/>
        <w:t>to</w:t>
      </w:r>
      <w:r>
        <w:rPr>
          <w:spacing w:val="-14"/>
        </w:rPr>
        <w:t> </w:t>
      </w:r>
      <w:r>
        <w:rPr/>
        <w:t>move the claim towards resolution. The TPA shall monitor the diary reviews by printing a “No Activity” report each month to identify any files that have fallen off the diary</w:t>
      </w:r>
      <w:r>
        <w:rPr>
          <w:spacing w:val="-22"/>
        </w:rPr>
        <w:t> </w:t>
      </w:r>
      <w:r>
        <w:rPr/>
        <w:t>system.</w:t>
      </w:r>
    </w:p>
    <w:p>
      <w:pPr>
        <w:pStyle w:val="BodyText"/>
        <w:spacing w:before="1"/>
      </w:pPr>
    </w:p>
    <w:p>
      <w:pPr>
        <w:pStyle w:val="BodyText"/>
        <w:ind w:left="840" w:right="479"/>
        <w:jc w:val="both"/>
      </w:pPr>
      <w:r>
        <w:rPr/>
        <w:t>The TPA supervisor shall conduct a diary review within 14 days of receipt of a claim, a subsequent review within 90 days on all active indemnity claims, and every 180 days thereafter. Interval of review may be reduced based on the status of the claim.</w:t>
      </w:r>
    </w:p>
    <w:p>
      <w:pPr>
        <w:pStyle w:val="BodyText"/>
        <w:spacing w:before="11"/>
        <w:rPr>
          <w:sz w:val="13"/>
        </w:rPr>
      </w:pPr>
    </w:p>
    <w:p>
      <w:pPr>
        <w:pStyle w:val="Heading4"/>
        <w:numPr>
          <w:ilvl w:val="0"/>
          <w:numId w:val="1"/>
        </w:numPr>
        <w:tabs>
          <w:tab w:pos="840" w:val="left" w:leader="none"/>
        </w:tabs>
        <w:spacing w:line="240" w:lineRule="auto" w:before="93" w:after="0"/>
        <w:ind w:left="840" w:right="0" w:hanging="360"/>
        <w:jc w:val="left"/>
      </w:pPr>
      <w:r>
        <w:rPr>
          <w:spacing w:val="-160"/>
          <w:u w:val="thick"/>
        </w:rPr>
        <w:t>C</w:t>
      </w:r>
      <w:r>
        <w:rPr>
          <w:spacing w:val="100"/>
        </w:rPr>
        <w:t> </w:t>
      </w:r>
      <w:r>
        <w:rPr>
          <w:u w:val="thick"/>
        </w:rPr>
        <w:t>laim Supervision</w:t>
      </w:r>
    </w:p>
    <w:p>
      <w:pPr>
        <w:pStyle w:val="BodyText"/>
        <w:spacing w:before="8"/>
        <w:rPr>
          <w:b/>
          <w:sz w:val="13"/>
        </w:rPr>
      </w:pPr>
    </w:p>
    <w:p>
      <w:pPr>
        <w:pStyle w:val="BodyText"/>
        <w:spacing w:before="94"/>
        <w:ind w:left="840" w:right="482"/>
        <w:jc w:val="both"/>
      </w:pPr>
      <w:r>
        <w:rPr/>
        <w:t>Each</w:t>
      </w:r>
      <w:r>
        <w:rPr>
          <w:spacing w:val="-7"/>
        </w:rPr>
        <w:t> </w:t>
      </w:r>
      <w:r>
        <w:rPr/>
        <w:t>claim</w:t>
      </w:r>
      <w:r>
        <w:rPr>
          <w:spacing w:val="-6"/>
        </w:rPr>
        <w:t> </w:t>
      </w:r>
      <w:r>
        <w:rPr/>
        <w:t>file</w:t>
      </w:r>
      <w:r>
        <w:rPr>
          <w:spacing w:val="-7"/>
        </w:rPr>
        <w:t> </w:t>
      </w:r>
      <w:r>
        <w:rPr/>
        <w:t>shall</w:t>
      </w:r>
      <w:r>
        <w:rPr>
          <w:spacing w:val="-8"/>
        </w:rPr>
        <w:t> </w:t>
      </w:r>
      <w:r>
        <w:rPr/>
        <w:t>contain</w:t>
      </w:r>
      <w:r>
        <w:rPr>
          <w:spacing w:val="-8"/>
        </w:rPr>
        <w:t> </w:t>
      </w:r>
      <w:r>
        <w:rPr/>
        <w:t>the</w:t>
      </w:r>
      <w:r>
        <w:rPr>
          <w:spacing w:val="-6"/>
        </w:rPr>
        <w:t> </w:t>
      </w:r>
      <w:r>
        <w:rPr/>
        <w:t>examiner’s</w:t>
      </w:r>
      <w:r>
        <w:rPr>
          <w:spacing w:val="-6"/>
        </w:rPr>
        <w:t> </w:t>
      </w:r>
      <w:r>
        <w:rPr/>
        <w:t>plan</w:t>
      </w:r>
      <w:r>
        <w:rPr>
          <w:spacing w:val="-6"/>
        </w:rPr>
        <w:t> </w:t>
      </w:r>
      <w:r>
        <w:rPr/>
        <w:t>of</w:t>
      </w:r>
      <w:r>
        <w:rPr>
          <w:spacing w:val="-6"/>
        </w:rPr>
        <w:t> </w:t>
      </w:r>
      <w:r>
        <w:rPr/>
        <w:t>action</w:t>
      </w:r>
      <w:r>
        <w:rPr>
          <w:spacing w:val="-9"/>
        </w:rPr>
        <w:t> </w:t>
      </w:r>
      <w:r>
        <w:rPr/>
        <w:t>for</w:t>
      </w:r>
      <w:r>
        <w:rPr>
          <w:spacing w:val="-7"/>
        </w:rPr>
        <w:t> </w:t>
      </w:r>
      <w:r>
        <w:rPr/>
        <w:t>the</w:t>
      </w:r>
      <w:r>
        <w:rPr>
          <w:spacing w:val="-9"/>
        </w:rPr>
        <w:t> </w:t>
      </w:r>
      <w:r>
        <w:rPr/>
        <w:t>future</w:t>
      </w:r>
      <w:r>
        <w:rPr>
          <w:spacing w:val="-5"/>
        </w:rPr>
        <w:t> </w:t>
      </w:r>
      <w:r>
        <w:rPr/>
        <w:t>handling</w:t>
      </w:r>
      <w:r>
        <w:rPr>
          <w:spacing w:val="-3"/>
        </w:rPr>
        <w:t> </w:t>
      </w:r>
      <w:r>
        <w:rPr/>
        <w:t>of</w:t>
      </w:r>
      <w:r>
        <w:rPr>
          <w:spacing w:val="-4"/>
        </w:rPr>
        <w:t> </w:t>
      </w:r>
      <w:r>
        <w:rPr/>
        <w:t>that</w:t>
      </w:r>
      <w:r>
        <w:rPr>
          <w:spacing w:val="-6"/>
        </w:rPr>
        <w:t> </w:t>
      </w:r>
      <w:r>
        <w:rPr/>
        <w:t>claim. Such</w:t>
      </w:r>
      <w:r>
        <w:rPr>
          <w:spacing w:val="-9"/>
        </w:rPr>
        <w:t> </w:t>
      </w:r>
      <w:r>
        <w:rPr/>
        <w:t>plan</w:t>
      </w:r>
      <w:r>
        <w:rPr>
          <w:spacing w:val="-9"/>
        </w:rPr>
        <w:t> </w:t>
      </w:r>
      <w:r>
        <w:rPr/>
        <w:t>of</w:t>
      </w:r>
      <w:r>
        <w:rPr>
          <w:spacing w:val="-8"/>
        </w:rPr>
        <w:t> </w:t>
      </w:r>
      <w:r>
        <w:rPr/>
        <w:t>action</w:t>
      </w:r>
      <w:r>
        <w:rPr>
          <w:spacing w:val="-8"/>
        </w:rPr>
        <w:t> </w:t>
      </w:r>
      <w:r>
        <w:rPr/>
        <w:t>shall</w:t>
      </w:r>
      <w:r>
        <w:rPr>
          <w:spacing w:val="-13"/>
        </w:rPr>
        <w:t> </w:t>
      </w:r>
      <w:r>
        <w:rPr/>
        <w:t>be</w:t>
      </w:r>
      <w:r>
        <w:rPr>
          <w:spacing w:val="-9"/>
        </w:rPr>
        <w:t> </w:t>
      </w:r>
      <w:r>
        <w:rPr/>
        <w:t>clearly</w:t>
      </w:r>
      <w:r>
        <w:rPr>
          <w:spacing w:val="-10"/>
        </w:rPr>
        <w:t> </w:t>
      </w:r>
      <w:r>
        <w:rPr/>
        <w:t>stated</w:t>
      </w:r>
      <w:r>
        <w:rPr>
          <w:spacing w:val="-10"/>
        </w:rPr>
        <w:t> </w:t>
      </w:r>
      <w:r>
        <w:rPr/>
        <w:t>including</w:t>
      </w:r>
      <w:r>
        <w:rPr>
          <w:spacing w:val="-10"/>
        </w:rPr>
        <w:t> </w:t>
      </w:r>
      <w:r>
        <w:rPr/>
        <w:t>the</w:t>
      </w:r>
      <w:r>
        <w:rPr>
          <w:spacing w:val="-12"/>
        </w:rPr>
        <w:t> </w:t>
      </w:r>
      <w:r>
        <w:rPr/>
        <w:t>reasoning</w:t>
      </w:r>
      <w:r>
        <w:rPr>
          <w:spacing w:val="-11"/>
        </w:rPr>
        <w:t> </w:t>
      </w:r>
      <w:r>
        <w:rPr/>
        <w:t>for</w:t>
      </w:r>
      <w:r>
        <w:rPr>
          <w:spacing w:val="-9"/>
        </w:rPr>
        <w:t> </w:t>
      </w:r>
      <w:r>
        <w:rPr/>
        <w:t>the</w:t>
      </w:r>
      <w:r>
        <w:rPr>
          <w:spacing w:val="-10"/>
        </w:rPr>
        <w:t> </w:t>
      </w:r>
      <w:r>
        <w:rPr/>
        <w:t>plan.</w:t>
      </w:r>
      <w:r>
        <w:rPr>
          <w:spacing w:val="41"/>
        </w:rPr>
        <w:t> </w:t>
      </w:r>
      <w:r>
        <w:rPr/>
        <w:t>The</w:t>
      </w:r>
      <w:r>
        <w:rPr>
          <w:spacing w:val="-10"/>
        </w:rPr>
        <w:t> </w:t>
      </w:r>
      <w:r>
        <w:rPr/>
        <w:t>initial</w:t>
      </w:r>
      <w:r>
        <w:rPr>
          <w:spacing w:val="-8"/>
        </w:rPr>
        <w:t> </w:t>
      </w:r>
      <w:r>
        <w:rPr/>
        <w:t>plan of action will be clearly documented in the computer system within 14 calendar days of the initial claim set-up. The plan of action will be updated at least every 90 calendar days and clearly identified in the computer</w:t>
      </w:r>
      <w:r>
        <w:rPr>
          <w:spacing w:val="-4"/>
        </w:rPr>
        <w:t> </w:t>
      </w:r>
      <w:r>
        <w:rPr/>
        <w:t>system.</w:t>
      </w:r>
    </w:p>
    <w:p>
      <w:pPr>
        <w:pStyle w:val="BodyText"/>
        <w:rPr>
          <w:sz w:val="14"/>
        </w:rPr>
      </w:pPr>
    </w:p>
    <w:p>
      <w:pPr>
        <w:pStyle w:val="Heading4"/>
        <w:numPr>
          <w:ilvl w:val="0"/>
          <w:numId w:val="1"/>
        </w:numPr>
        <w:tabs>
          <w:tab w:pos="840" w:val="left" w:leader="none"/>
        </w:tabs>
        <w:spacing w:line="240" w:lineRule="auto" w:before="93" w:after="0"/>
        <w:ind w:left="840" w:right="0" w:hanging="360"/>
        <w:jc w:val="left"/>
      </w:pPr>
      <w:r>
        <w:rPr>
          <w:spacing w:val="-160"/>
          <w:u w:val="thick"/>
        </w:rPr>
        <w:t>C</w:t>
      </w:r>
      <w:r>
        <w:rPr>
          <w:spacing w:val="100"/>
        </w:rPr>
        <w:t> </w:t>
      </w:r>
      <w:r>
        <w:rPr>
          <w:u w:val="thick"/>
        </w:rPr>
        <w:t>laim Supervision</w:t>
      </w:r>
    </w:p>
    <w:p>
      <w:pPr>
        <w:pStyle w:val="BodyText"/>
        <w:spacing w:before="11"/>
        <w:rPr>
          <w:b/>
          <w:sz w:val="13"/>
        </w:rPr>
      </w:pPr>
    </w:p>
    <w:p>
      <w:pPr>
        <w:pStyle w:val="BodyText"/>
        <w:spacing w:before="93"/>
        <w:ind w:left="840" w:right="480"/>
        <w:jc w:val="both"/>
      </w:pPr>
      <w:r>
        <w:rPr/>
        <w:t>The TPA shall provide supervisory staff that will regularly review the work product of the examiners. Supervisory personnel will have a minimum of five years’ experience administering workers’ compensation claims. Supervisory personnel should not handle a caseload,</w:t>
      </w:r>
      <w:r>
        <w:rPr>
          <w:spacing w:val="-5"/>
        </w:rPr>
        <w:t> </w:t>
      </w:r>
      <w:r>
        <w:rPr/>
        <w:t>although</w:t>
      </w:r>
      <w:r>
        <w:rPr>
          <w:spacing w:val="-8"/>
        </w:rPr>
        <w:t> </w:t>
      </w:r>
      <w:r>
        <w:rPr/>
        <w:t>they</w:t>
      </w:r>
      <w:r>
        <w:rPr>
          <w:spacing w:val="-11"/>
        </w:rPr>
        <w:t> </w:t>
      </w:r>
      <w:r>
        <w:rPr/>
        <w:t>may</w:t>
      </w:r>
      <w:r>
        <w:rPr>
          <w:spacing w:val="-9"/>
        </w:rPr>
        <w:t> </w:t>
      </w:r>
      <w:r>
        <w:rPr/>
        <w:t>handle</w:t>
      </w:r>
      <w:r>
        <w:rPr>
          <w:spacing w:val="-5"/>
        </w:rPr>
        <w:t> </w:t>
      </w:r>
      <w:r>
        <w:rPr/>
        <w:t>specific</w:t>
      </w:r>
      <w:r>
        <w:rPr>
          <w:spacing w:val="-10"/>
        </w:rPr>
        <w:t> </w:t>
      </w:r>
      <w:r>
        <w:rPr/>
        <w:t>issues</w:t>
      </w:r>
      <w:r>
        <w:rPr>
          <w:spacing w:val="-6"/>
        </w:rPr>
        <w:t> </w:t>
      </w:r>
      <w:r>
        <w:rPr/>
        <w:t>or</w:t>
      </w:r>
      <w:r>
        <w:rPr>
          <w:spacing w:val="-5"/>
        </w:rPr>
        <w:t> </w:t>
      </w:r>
      <w:r>
        <w:rPr/>
        <w:t>a</w:t>
      </w:r>
      <w:r>
        <w:rPr>
          <w:spacing w:val="-10"/>
        </w:rPr>
        <w:t> </w:t>
      </w:r>
      <w:r>
        <w:rPr/>
        <w:t>small</w:t>
      </w:r>
      <w:r>
        <w:rPr>
          <w:spacing w:val="-9"/>
        </w:rPr>
        <w:t> </w:t>
      </w:r>
      <w:r>
        <w:rPr/>
        <w:t>number</w:t>
      </w:r>
      <w:r>
        <w:rPr>
          <w:spacing w:val="-6"/>
        </w:rPr>
        <w:t> </w:t>
      </w:r>
      <w:r>
        <w:rPr/>
        <w:t>of</w:t>
      </w:r>
      <w:r>
        <w:rPr>
          <w:spacing w:val="-10"/>
        </w:rPr>
        <w:t> </w:t>
      </w:r>
      <w:r>
        <w:rPr/>
        <w:t>conflict</w:t>
      </w:r>
      <w:r>
        <w:rPr>
          <w:spacing w:val="-6"/>
        </w:rPr>
        <w:t> </w:t>
      </w:r>
      <w:r>
        <w:rPr/>
        <w:t>claims,</w:t>
      </w:r>
      <w:r>
        <w:rPr>
          <w:spacing w:val="-8"/>
        </w:rPr>
        <w:t> </w:t>
      </w:r>
      <w:r>
        <w:rPr/>
        <w:t>or</w:t>
      </w:r>
      <w:r>
        <w:rPr>
          <w:spacing w:val="-7"/>
        </w:rPr>
        <w:t> </w:t>
      </w:r>
      <w:r>
        <w:rPr/>
        <w:t>fill in</w:t>
      </w:r>
      <w:r>
        <w:rPr>
          <w:spacing w:val="-15"/>
        </w:rPr>
        <w:t> </w:t>
      </w:r>
      <w:r>
        <w:rPr/>
        <w:t>under</w:t>
      </w:r>
      <w:r>
        <w:rPr>
          <w:spacing w:val="-11"/>
        </w:rPr>
        <w:t> </w:t>
      </w:r>
      <w:r>
        <w:rPr/>
        <w:t>short-term</w:t>
      </w:r>
      <w:r>
        <w:rPr>
          <w:spacing w:val="-13"/>
        </w:rPr>
        <w:t> </w:t>
      </w:r>
      <w:r>
        <w:rPr/>
        <w:t>emergencies.</w:t>
      </w:r>
      <w:r>
        <w:rPr>
          <w:spacing w:val="-15"/>
        </w:rPr>
        <w:t> </w:t>
      </w:r>
      <w:r>
        <w:rPr/>
        <w:t>The</w:t>
      </w:r>
      <w:r>
        <w:rPr>
          <w:spacing w:val="-14"/>
        </w:rPr>
        <w:t> </w:t>
      </w:r>
      <w:r>
        <w:rPr/>
        <w:t>supervisor</w:t>
      </w:r>
      <w:r>
        <w:rPr>
          <w:spacing w:val="-11"/>
        </w:rPr>
        <w:t> </w:t>
      </w:r>
      <w:r>
        <w:rPr/>
        <w:t>shall</w:t>
      </w:r>
      <w:r>
        <w:rPr>
          <w:spacing w:val="-16"/>
        </w:rPr>
        <w:t> </w:t>
      </w:r>
      <w:r>
        <w:rPr/>
        <w:t>review</w:t>
      </w:r>
      <w:r>
        <w:rPr>
          <w:spacing w:val="-16"/>
        </w:rPr>
        <w:t> </w:t>
      </w:r>
      <w:r>
        <w:rPr/>
        <w:t>at</w:t>
      </w:r>
      <w:r>
        <w:rPr>
          <w:spacing w:val="-14"/>
        </w:rPr>
        <w:t> </w:t>
      </w:r>
      <w:r>
        <w:rPr/>
        <w:t>least</w:t>
      </w:r>
      <w:r>
        <w:rPr>
          <w:spacing w:val="-13"/>
        </w:rPr>
        <w:t> </w:t>
      </w:r>
      <w:r>
        <w:rPr/>
        <w:t>10%</w:t>
      </w:r>
      <w:r>
        <w:rPr>
          <w:spacing w:val="-15"/>
        </w:rPr>
        <w:t> </w:t>
      </w:r>
      <w:r>
        <w:rPr/>
        <w:t>of</w:t>
      </w:r>
      <w:r>
        <w:rPr>
          <w:spacing w:val="-8"/>
        </w:rPr>
        <w:t> </w:t>
      </w:r>
      <w:r>
        <w:rPr/>
        <w:t>each</w:t>
      </w:r>
      <w:r>
        <w:rPr>
          <w:spacing w:val="-14"/>
        </w:rPr>
        <w:t> </w:t>
      </w:r>
      <w:r>
        <w:rPr/>
        <w:t>examiner’s caseload each month to ensure each examiner is following the performance standards outlined required by the City. In addition, the supervisor shall conduct a regular quarterly review of all open indemnity claims with reserves in excess of $100,000 and all problem or complex claims. Such reviews shall be labeled as “Supervisor Review” and clearly documented in the electronic notes. Future medical claims will remain current on the supervisory diary every 180</w:t>
      </w:r>
      <w:r>
        <w:rPr>
          <w:spacing w:val="-10"/>
        </w:rPr>
        <w:t> </w:t>
      </w:r>
      <w:r>
        <w:rPr/>
        <w:t>days.</w:t>
      </w:r>
    </w:p>
    <w:p>
      <w:pPr>
        <w:spacing w:after="0"/>
        <w:jc w:val="both"/>
        <w:sectPr>
          <w:pgSz w:w="12240" w:h="15840"/>
          <w:pgMar w:header="0" w:footer="1248" w:top="1000" w:bottom="1440" w:left="960" w:right="960"/>
        </w:sectPr>
      </w:pPr>
    </w:p>
    <w:p>
      <w:pPr>
        <w:pStyle w:val="Heading4"/>
        <w:numPr>
          <w:ilvl w:val="0"/>
          <w:numId w:val="1"/>
        </w:numPr>
        <w:tabs>
          <w:tab w:pos="840" w:val="left" w:leader="none"/>
        </w:tabs>
        <w:spacing w:line="240" w:lineRule="auto" w:before="63" w:after="0"/>
        <w:ind w:left="840" w:right="0" w:hanging="360"/>
        <w:jc w:val="left"/>
      </w:pPr>
      <w:r>
        <w:rPr/>
        <w:pict>
          <v:group style="position:absolute;margin-left:26.160002pt;margin-top:26.160002pt;width:561.85pt;height:741.85pt;mso-position-horizontal-relative:page;mso-position-vertical-relative:page;z-index:-253977600" coordorigin="523,523" coordsize="11237,14837">
            <v:line style="position:absolute" from="523,545" to="11674,545" stroked="true" strokeweight="2.159998pt" strokecolor="#000000">
              <v:stroke dashstyle="solid"/>
            </v:line>
            <v:rect style="position:absolute;left:11673;top:523;width:44;height:44" filled="true" fillcolor="#000000" stroked="false">
              <v:fill type="solid"/>
            </v:rect>
            <v:line style="position:absolute" from="545,566" to="545,15317" stroked="true" strokeweight="2.159998pt" strokecolor="#000000">
              <v:stroke dashstyle="solid"/>
            </v:line>
            <v:line style="position:absolute" from="11717,566" to="11717,15274" stroked="true" strokeweight="4.320008pt" strokecolor="#000000">
              <v:stroke dashstyle="solid"/>
            </v:line>
            <v:line style="position:absolute" from="566,15317" to="11674,15317" stroked="true" strokeweight="4.320008pt" strokecolor="#000000">
              <v:stroke dashstyle="solid"/>
            </v:line>
            <v:shape style="position:absolute;left:11673;top:15273;width:87;height:87" coordorigin="11674,15274" coordsize="87,87" path="m11760,15274l11717,15274,11674,15274,11674,15317,11674,15360,11717,15360,11760,15360,11760,15317,11760,15274e" filled="true" fillcolor="#000000" stroked="false">
              <v:path arrowok="t"/>
              <v:fill type="solid"/>
            </v:shape>
            <w10:wrap type="none"/>
          </v:group>
        </w:pict>
      </w:r>
      <w:r>
        <w:rPr>
          <w:spacing w:val="-160"/>
          <w:u w:val="thick"/>
        </w:rPr>
        <w:t>C</w:t>
      </w:r>
      <w:r>
        <w:rPr>
          <w:spacing w:val="100"/>
        </w:rPr>
        <w:t> </w:t>
      </w:r>
      <w:r>
        <w:rPr>
          <w:u w:val="thick"/>
        </w:rPr>
        <w:t>laim Reconciliation</w:t>
      </w:r>
    </w:p>
    <w:p>
      <w:pPr>
        <w:pStyle w:val="BodyText"/>
        <w:spacing w:before="11"/>
        <w:rPr>
          <w:b/>
          <w:sz w:val="13"/>
        </w:rPr>
      </w:pPr>
    </w:p>
    <w:p>
      <w:pPr>
        <w:pStyle w:val="BodyText"/>
        <w:spacing w:before="93"/>
        <w:ind w:left="840" w:right="481"/>
        <w:jc w:val="both"/>
      </w:pPr>
      <w:r>
        <w:rPr/>
        <w:t>All claim files shall be reconciled to ensure correct indemnity payments. The reconciliation should verify that payments were made in the correct amount and from the correct claim file. All open claim files shall be reconciled at the time of a request for settlement authorization and at the time of submission for closure. Proof of the reconciliation should remain in the claim file and clearly documented in the computer system.</w:t>
      </w:r>
    </w:p>
    <w:p>
      <w:pPr>
        <w:pStyle w:val="BodyText"/>
        <w:spacing w:before="10"/>
        <w:rPr>
          <w:sz w:val="21"/>
        </w:rPr>
      </w:pPr>
    </w:p>
    <w:p>
      <w:pPr>
        <w:pStyle w:val="Heading4"/>
        <w:numPr>
          <w:ilvl w:val="0"/>
          <w:numId w:val="1"/>
        </w:numPr>
        <w:tabs>
          <w:tab w:pos="840" w:val="left" w:leader="none"/>
        </w:tabs>
        <w:spacing w:line="240" w:lineRule="auto" w:before="0" w:after="0"/>
        <w:ind w:left="840" w:right="0" w:hanging="360"/>
        <w:jc w:val="left"/>
      </w:pPr>
      <w:r>
        <w:rPr>
          <w:spacing w:val="-147"/>
          <w:u w:val="thick"/>
        </w:rPr>
        <w:t>S</w:t>
      </w:r>
      <w:r>
        <w:rPr>
          <w:spacing w:val="87"/>
        </w:rPr>
        <w:t> </w:t>
      </w:r>
      <w:r>
        <w:rPr>
          <w:u w:val="thick"/>
        </w:rPr>
        <w:t>ettlements</w:t>
      </w:r>
    </w:p>
    <w:p>
      <w:pPr>
        <w:pStyle w:val="BodyText"/>
        <w:spacing w:before="11"/>
        <w:rPr>
          <w:b/>
          <w:sz w:val="13"/>
        </w:rPr>
      </w:pPr>
    </w:p>
    <w:p>
      <w:pPr>
        <w:pStyle w:val="BodyText"/>
        <w:spacing w:before="93"/>
        <w:ind w:left="840" w:right="481"/>
        <w:jc w:val="both"/>
      </w:pPr>
      <w:r>
        <w:rPr/>
        <w:t>The TPA shall obtain the City’s authorization for all settlements. The TPA or the City’s legal counsel shall forward settlement proposals to the City in a form acceptable to the City. All requests for settlement authority shall be clear and concise and include a written claim analysis, estimate of permanent disability, and the defense counsel’s, if any, comments and recommendations. If the settlement exceeds the City’s self-insured retention, the written settlement proposal shall also be directed to the excess carrier or designated representative in accordance with the excess carrier’s guidelines in addition to the City’s authority.</w:t>
      </w:r>
    </w:p>
    <w:p>
      <w:pPr>
        <w:pStyle w:val="BodyText"/>
        <w:spacing w:before="10"/>
        <w:rPr>
          <w:sz w:val="13"/>
        </w:rPr>
      </w:pPr>
    </w:p>
    <w:p>
      <w:pPr>
        <w:pStyle w:val="Heading4"/>
        <w:numPr>
          <w:ilvl w:val="0"/>
          <w:numId w:val="1"/>
        </w:numPr>
        <w:tabs>
          <w:tab w:pos="840" w:val="left" w:leader="none"/>
        </w:tabs>
        <w:spacing w:line="240" w:lineRule="auto" w:before="93" w:after="0"/>
        <w:ind w:left="840" w:right="0" w:hanging="360"/>
        <w:jc w:val="left"/>
      </w:pPr>
      <w:r>
        <w:rPr>
          <w:spacing w:val="-160"/>
          <w:u w:val="thick"/>
        </w:rPr>
        <w:t>A</w:t>
      </w:r>
      <w:r>
        <w:rPr>
          <w:spacing w:val="94"/>
        </w:rPr>
        <w:t> </w:t>
      </w:r>
      <w:r>
        <w:rPr>
          <w:u w:val="thick"/>
        </w:rPr>
        <w:t>ward Payment</w:t>
      </w:r>
    </w:p>
    <w:p>
      <w:pPr>
        <w:pStyle w:val="BodyText"/>
        <w:spacing w:before="11"/>
        <w:rPr>
          <w:b/>
          <w:sz w:val="13"/>
        </w:rPr>
      </w:pPr>
    </w:p>
    <w:p>
      <w:pPr>
        <w:pStyle w:val="BodyText"/>
        <w:spacing w:before="93"/>
        <w:ind w:left="840" w:right="482"/>
        <w:jc w:val="both"/>
      </w:pPr>
      <w:r>
        <w:rPr/>
        <w:t>Payments of Awards, computations, or Compromise and Release agreements will be issued within</w:t>
      </w:r>
      <w:r>
        <w:rPr>
          <w:spacing w:val="-5"/>
        </w:rPr>
        <w:t> </w:t>
      </w:r>
      <w:r>
        <w:rPr/>
        <w:t>10</w:t>
      </w:r>
      <w:r>
        <w:rPr>
          <w:spacing w:val="-4"/>
        </w:rPr>
        <w:t> </w:t>
      </w:r>
      <w:r>
        <w:rPr/>
        <w:t>business</w:t>
      </w:r>
      <w:r>
        <w:rPr>
          <w:spacing w:val="-6"/>
        </w:rPr>
        <w:t> </w:t>
      </w:r>
      <w:r>
        <w:rPr/>
        <w:t>days</w:t>
      </w:r>
      <w:r>
        <w:rPr>
          <w:spacing w:val="-2"/>
        </w:rPr>
        <w:t> </w:t>
      </w:r>
      <w:r>
        <w:rPr/>
        <w:t>or</w:t>
      </w:r>
      <w:r>
        <w:rPr>
          <w:spacing w:val="-3"/>
        </w:rPr>
        <w:t> </w:t>
      </w:r>
      <w:r>
        <w:rPr/>
        <w:t>sooner</w:t>
      </w:r>
      <w:r>
        <w:rPr>
          <w:spacing w:val="-3"/>
        </w:rPr>
        <w:t> </w:t>
      </w:r>
      <w:r>
        <w:rPr/>
        <w:t>if</w:t>
      </w:r>
      <w:r>
        <w:rPr>
          <w:spacing w:val="-4"/>
        </w:rPr>
        <w:t> </w:t>
      </w:r>
      <w:r>
        <w:rPr/>
        <w:t>necessary</w:t>
      </w:r>
      <w:r>
        <w:rPr>
          <w:spacing w:val="-6"/>
        </w:rPr>
        <w:t> </w:t>
      </w:r>
      <w:r>
        <w:rPr/>
        <w:t>to</w:t>
      </w:r>
      <w:r>
        <w:rPr>
          <w:spacing w:val="-5"/>
        </w:rPr>
        <w:t> </w:t>
      </w:r>
      <w:r>
        <w:rPr/>
        <w:t>ensure</w:t>
      </w:r>
      <w:r>
        <w:rPr>
          <w:spacing w:val="-5"/>
        </w:rPr>
        <w:t> </w:t>
      </w:r>
      <w:r>
        <w:rPr/>
        <w:t>payment</w:t>
      </w:r>
      <w:r>
        <w:rPr>
          <w:spacing w:val="-4"/>
        </w:rPr>
        <w:t> </w:t>
      </w:r>
      <w:r>
        <w:rPr/>
        <w:t>within</w:t>
      </w:r>
      <w:r>
        <w:rPr>
          <w:spacing w:val="-4"/>
        </w:rPr>
        <w:t> </w:t>
      </w:r>
      <w:r>
        <w:rPr/>
        <w:t>20</w:t>
      </w:r>
      <w:r>
        <w:rPr>
          <w:spacing w:val="-4"/>
        </w:rPr>
        <w:t> </w:t>
      </w:r>
      <w:r>
        <w:rPr/>
        <w:t>calendar</w:t>
      </w:r>
      <w:r>
        <w:rPr>
          <w:spacing w:val="-4"/>
        </w:rPr>
        <w:t> </w:t>
      </w:r>
      <w:r>
        <w:rPr/>
        <w:t>days</w:t>
      </w:r>
      <w:r>
        <w:rPr>
          <w:spacing w:val="-4"/>
        </w:rPr>
        <w:t> </w:t>
      </w:r>
      <w:r>
        <w:rPr>
          <w:spacing w:val="-3"/>
        </w:rPr>
        <w:t>of </w:t>
      </w:r>
      <w:r>
        <w:rPr/>
        <w:t>the WCAB approval date, following receipt of the appropriate</w:t>
      </w:r>
      <w:r>
        <w:rPr>
          <w:spacing w:val="-10"/>
        </w:rPr>
        <w:t> </w:t>
      </w:r>
      <w:r>
        <w:rPr/>
        <w:t>document.</w:t>
      </w:r>
    </w:p>
    <w:p>
      <w:pPr>
        <w:pStyle w:val="BodyText"/>
        <w:spacing w:before="1"/>
      </w:pPr>
    </w:p>
    <w:p>
      <w:pPr>
        <w:pStyle w:val="Heading4"/>
        <w:numPr>
          <w:ilvl w:val="0"/>
          <w:numId w:val="1"/>
        </w:numPr>
        <w:tabs>
          <w:tab w:pos="840" w:val="left" w:leader="none"/>
        </w:tabs>
        <w:spacing w:line="240" w:lineRule="auto" w:before="0" w:after="0"/>
        <w:ind w:left="840" w:right="0" w:hanging="360"/>
        <w:jc w:val="left"/>
      </w:pPr>
      <w:r>
        <w:rPr>
          <w:spacing w:val="-135"/>
          <w:u w:val="thick"/>
        </w:rPr>
        <w:t>F</w:t>
      </w:r>
      <w:r>
        <w:rPr>
          <w:spacing w:val="76"/>
        </w:rPr>
        <w:t> </w:t>
      </w:r>
      <w:r>
        <w:rPr>
          <w:u w:val="thick"/>
        </w:rPr>
        <w:t>uture Medical</w:t>
      </w:r>
      <w:r>
        <w:rPr>
          <w:spacing w:val="-1"/>
          <w:u w:val="thick"/>
        </w:rPr>
        <w:t> </w:t>
      </w:r>
      <w:r>
        <w:rPr>
          <w:u w:val="thick"/>
        </w:rPr>
        <w:t>Claims</w:t>
      </w:r>
    </w:p>
    <w:p>
      <w:pPr>
        <w:pStyle w:val="BodyText"/>
        <w:spacing w:before="11"/>
        <w:rPr>
          <w:b/>
          <w:sz w:val="13"/>
        </w:rPr>
      </w:pPr>
    </w:p>
    <w:p>
      <w:pPr>
        <w:pStyle w:val="BodyText"/>
        <w:spacing w:before="93"/>
        <w:ind w:left="840" w:right="481"/>
        <w:jc w:val="both"/>
      </w:pPr>
      <w:r>
        <w:rPr/>
        <w:t>Claims that remain open to monitor future medical care shall remain open for two years from the last payment of benefit. Reviews shall be documented in the claim notes to include settlement</w:t>
      </w:r>
      <w:r>
        <w:rPr>
          <w:spacing w:val="-7"/>
        </w:rPr>
        <w:t> </w:t>
      </w:r>
      <w:r>
        <w:rPr/>
        <w:t>information,</w:t>
      </w:r>
      <w:r>
        <w:rPr>
          <w:spacing w:val="-11"/>
        </w:rPr>
        <w:t> </w:t>
      </w:r>
      <w:r>
        <w:rPr/>
        <w:t>permanent</w:t>
      </w:r>
      <w:r>
        <w:rPr>
          <w:spacing w:val="-9"/>
        </w:rPr>
        <w:t> </w:t>
      </w:r>
      <w:r>
        <w:rPr/>
        <w:t>work</w:t>
      </w:r>
      <w:r>
        <w:rPr>
          <w:spacing w:val="-10"/>
        </w:rPr>
        <w:t> </w:t>
      </w:r>
      <w:r>
        <w:rPr/>
        <w:t>restrictions,</w:t>
      </w:r>
      <w:r>
        <w:rPr>
          <w:spacing w:val="-11"/>
        </w:rPr>
        <w:t> </w:t>
      </w:r>
      <w:r>
        <w:rPr/>
        <w:t>future</w:t>
      </w:r>
      <w:r>
        <w:rPr>
          <w:spacing w:val="-13"/>
        </w:rPr>
        <w:t> </w:t>
      </w:r>
      <w:r>
        <w:rPr/>
        <w:t>medical</w:t>
      </w:r>
      <w:r>
        <w:rPr>
          <w:spacing w:val="-11"/>
        </w:rPr>
        <w:t> </w:t>
      </w:r>
      <w:r>
        <w:rPr/>
        <w:t>care</w:t>
      </w:r>
      <w:r>
        <w:rPr>
          <w:spacing w:val="-10"/>
        </w:rPr>
        <w:t> </w:t>
      </w:r>
      <w:r>
        <w:rPr/>
        <w:t>outline,</w:t>
      </w:r>
      <w:r>
        <w:rPr>
          <w:spacing w:val="-6"/>
        </w:rPr>
        <w:t> </w:t>
      </w:r>
      <w:r>
        <w:rPr/>
        <w:t>last</w:t>
      </w:r>
      <w:r>
        <w:rPr>
          <w:spacing w:val="-7"/>
        </w:rPr>
        <w:t> </w:t>
      </w:r>
      <w:r>
        <w:rPr/>
        <w:t>date</w:t>
      </w:r>
      <w:r>
        <w:rPr>
          <w:spacing w:val="-9"/>
        </w:rPr>
        <w:t> </w:t>
      </w:r>
      <w:r>
        <w:rPr/>
        <w:t>and type</w:t>
      </w:r>
      <w:r>
        <w:rPr>
          <w:spacing w:val="-10"/>
        </w:rPr>
        <w:t> </w:t>
      </w:r>
      <w:r>
        <w:rPr/>
        <w:t>of</w:t>
      </w:r>
      <w:r>
        <w:rPr>
          <w:spacing w:val="-6"/>
        </w:rPr>
        <w:t> </w:t>
      </w:r>
      <w:r>
        <w:rPr/>
        <w:t>treatment</w:t>
      </w:r>
      <w:r>
        <w:rPr>
          <w:spacing w:val="-10"/>
        </w:rPr>
        <w:t> </w:t>
      </w:r>
      <w:r>
        <w:rPr/>
        <w:t>and</w:t>
      </w:r>
      <w:r>
        <w:rPr>
          <w:spacing w:val="-12"/>
        </w:rPr>
        <w:t> </w:t>
      </w:r>
      <w:r>
        <w:rPr/>
        <w:t>medications,</w:t>
      </w:r>
      <w:r>
        <w:rPr>
          <w:spacing w:val="-9"/>
        </w:rPr>
        <w:t> </w:t>
      </w:r>
      <w:r>
        <w:rPr/>
        <w:t>name</w:t>
      </w:r>
      <w:r>
        <w:rPr>
          <w:spacing w:val="-10"/>
        </w:rPr>
        <w:t> </w:t>
      </w:r>
      <w:r>
        <w:rPr/>
        <w:t>of</w:t>
      </w:r>
      <w:r>
        <w:rPr>
          <w:spacing w:val="-10"/>
        </w:rPr>
        <w:t> </w:t>
      </w:r>
      <w:r>
        <w:rPr/>
        <w:t>excess</w:t>
      </w:r>
      <w:r>
        <w:rPr>
          <w:spacing w:val="-9"/>
        </w:rPr>
        <w:t> </w:t>
      </w:r>
      <w:r>
        <w:rPr/>
        <w:t>carrier,</w:t>
      </w:r>
      <w:r>
        <w:rPr>
          <w:spacing w:val="-9"/>
        </w:rPr>
        <w:t> </w:t>
      </w:r>
      <w:r>
        <w:rPr/>
        <w:t>excess</w:t>
      </w:r>
      <w:r>
        <w:rPr>
          <w:spacing w:val="-12"/>
        </w:rPr>
        <w:t> </w:t>
      </w:r>
      <w:r>
        <w:rPr/>
        <w:t>carrier</w:t>
      </w:r>
      <w:r>
        <w:rPr>
          <w:spacing w:val="-7"/>
        </w:rPr>
        <w:t> </w:t>
      </w:r>
      <w:r>
        <w:rPr/>
        <w:t>reporting</w:t>
      </w:r>
      <w:r>
        <w:rPr>
          <w:spacing w:val="-5"/>
        </w:rPr>
        <w:t> </w:t>
      </w:r>
      <w:r>
        <w:rPr/>
        <w:t>level,</w:t>
      </w:r>
      <w:r>
        <w:rPr>
          <w:spacing w:val="-10"/>
        </w:rPr>
        <w:t> </w:t>
      </w:r>
      <w:r>
        <w:rPr/>
        <w:t>and excess</w:t>
      </w:r>
      <w:r>
        <w:rPr>
          <w:spacing w:val="-10"/>
        </w:rPr>
        <w:t> </w:t>
      </w:r>
      <w:r>
        <w:rPr/>
        <w:t>carrier</w:t>
      </w:r>
      <w:r>
        <w:rPr>
          <w:spacing w:val="-9"/>
        </w:rPr>
        <w:t> </w:t>
      </w:r>
      <w:r>
        <w:rPr/>
        <w:t>reporting</w:t>
      </w:r>
      <w:r>
        <w:rPr>
          <w:spacing w:val="-9"/>
        </w:rPr>
        <w:t> </w:t>
      </w:r>
      <w:r>
        <w:rPr/>
        <w:t>history.</w:t>
      </w:r>
      <w:r>
        <w:rPr>
          <w:spacing w:val="44"/>
        </w:rPr>
        <w:t> </w:t>
      </w:r>
      <w:r>
        <w:rPr/>
        <w:t>Reserves</w:t>
      </w:r>
      <w:r>
        <w:rPr>
          <w:spacing w:val="-11"/>
        </w:rPr>
        <w:t> </w:t>
      </w:r>
      <w:r>
        <w:rPr/>
        <w:t>for</w:t>
      </w:r>
      <w:r>
        <w:rPr>
          <w:spacing w:val="-10"/>
        </w:rPr>
        <w:t> </w:t>
      </w:r>
      <w:r>
        <w:rPr/>
        <w:t>future</w:t>
      </w:r>
      <w:r>
        <w:rPr>
          <w:spacing w:val="-9"/>
        </w:rPr>
        <w:t> </w:t>
      </w:r>
      <w:r>
        <w:rPr/>
        <w:t>medical</w:t>
      </w:r>
      <w:r>
        <w:rPr>
          <w:spacing w:val="-11"/>
        </w:rPr>
        <w:t> </w:t>
      </w:r>
      <w:r>
        <w:rPr/>
        <w:t>treatment</w:t>
      </w:r>
      <w:r>
        <w:rPr>
          <w:spacing w:val="-6"/>
        </w:rPr>
        <w:t> </w:t>
      </w:r>
      <w:r>
        <w:rPr/>
        <w:t>will</w:t>
      </w:r>
      <w:r>
        <w:rPr>
          <w:spacing w:val="-9"/>
        </w:rPr>
        <w:t> </w:t>
      </w:r>
      <w:r>
        <w:rPr/>
        <w:t>be</w:t>
      </w:r>
      <w:r>
        <w:rPr>
          <w:spacing w:val="-9"/>
        </w:rPr>
        <w:t> </w:t>
      </w:r>
      <w:r>
        <w:rPr/>
        <w:t>reviewed</w:t>
      </w:r>
      <w:r>
        <w:rPr>
          <w:spacing w:val="-11"/>
        </w:rPr>
        <w:t> </w:t>
      </w:r>
      <w:r>
        <w:rPr/>
        <w:t>every six months and adjusted for use over a three year average and the injured employee’s life expectancy based on the latest version of the U.S. Life Table. The reason(s) and calculation(s) for the adjustment(s) shall be clearly documented in the electronic</w:t>
      </w:r>
      <w:r>
        <w:rPr>
          <w:spacing w:val="-21"/>
        </w:rPr>
        <w:t> </w:t>
      </w:r>
      <w:r>
        <w:rPr/>
        <w:t>notes.</w:t>
      </w:r>
    </w:p>
    <w:p>
      <w:pPr>
        <w:pStyle w:val="BodyText"/>
        <w:spacing w:before="10"/>
        <w:rPr>
          <w:sz w:val="21"/>
        </w:rPr>
      </w:pPr>
    </w:p>
    <w:p>
      <w:pPr>
        <w:pStyle w:val="Heading4"/>
        <w:numPr>
          <w:ilvl w:val="0"/>
          <w:numId w:val="1"/>
        </w:numPr>
        <w:tabs>
          <w:tab w:pos="840" w:val="left" w:leader="none"/>
        </w:tabs>
        <w:spacing w:line="240" w:lineRule="auto" w:before="0" w:after="0"/>
        <w:ind w:left="840" w:right="0" w:hanging="360"/>
        <w:jc w:val="left"/>
      </w:pPr>
      <w:r>
        <w:rPr>
          <w:spacing w:val="-147"/>
          <w:u w:val="thick"/>
        </w:rPr>
        <w:t>S</w:t>
      </w:r>
      <w:r>
        <w:rPr>
          <w:spacing w:val="88"/>
        </w:rPr>
        <w:t> </w:t>
      </w:r>
      <w:r>
        <w:rPr>
          <w:u w:val="thick"/>
        </w:rPr>
        <w:t>ubrogation</w:t>
      </w:r>
    </w:p>
    <w:p>
      <w:pPr>
        <w:pStyle w:val="BodyText"/>
        <w:spacing w:before="10"/>
        <w:rPr>
          <w:b/>
          <w:sz w:val="13"/>
        </w:rPr>
      </w:pPr>
    </w:p>
    <w:p>
      <w:pPr>
        <w:pStyle w:val="BodyText"/>
        <w:spacing w:before="94"/>
        <w:ind w:left="840" w:right="480"/>
        <w:jc w:val="both"/>
      </w:pPr>
      <w:r>
        <w:rPr/>
        <w:t>The TPA will pursue all subrogation involving responsible third-parties and work closely with City staff to resolve subrogation issues. The TPA is not authorized to file litigation without consent of the City. The City must approve all settlements. The City will provide specific language to incorporate in any subrogation settlement. TPA is responsible for protecting any and all statute of limitations and must notify City staff in writing no later than 60 days prior to expiration of the statute. The City retains the right to handle any subrogation issue it deems appropriate. The City requires copies of all subrogation correspondence.</w:t>
      </w:r>
    </w:p>
    <w:p>
      <w:pPr>
        <w:pStyle w:val="BodyText"/>
        <w:spacing w:before="10"/>
        <w:rPr>
          <w:sz w:val="21"/>
        </w:rPr>
      </w:pPr>
    </w:p>
    <w:p>
      <w:pPr>
        <w:pStyle w:val="Heading4"/>
        <w:numPr>
          <w:ilvl w:val="0"/>
          <w:numId w:val="1"/>
        </w:numPr>
        <w:tabs>
          <w:tab w:pos="840" w:val="left" w:leader="none"/>
        </w:tabs>
        <w:spacing w:line="240" w:lineRule="auto" w:before="1" w:after="0"/>
        <w:ind w:left="840" w:right="0" w:hanging="360"/>
        <w:jc w:val="left"/>
      </w:pPr>
      <w:r>
        <w:rPr>
          <w:spacing w:val="-135"/>
          <w:u w:val="thick"/>
        </w:rPr>
        <w:t>L</w:t>
      </w:r>
      <w:r>
        <w:rPr>
          <w:spacing w:val="77"/>
        </w:rPr>
        <w:t> </w:t>
      </w:r>
      <w:r>
        <w:rPr>
          <w:u w:val="thick"/>
        </w:rPr>
        <w:t>itigated</w:t>
      </w:r>
      <w:r>
        <w:rPr>
          <w:spacing w:val="-3"/>
          <w:u w:val="thick"/>
        </w:rPr>
        <w:t> </w:t>
      </w:r>
      <w:r>
        <w:rPr>
          <w:u w:val="thick"/>
        </w:rPr>
        <w:t>Cases</w:t>
      </w:r>
    </w:p>
    <w:p>
      <w:pPr>
        <w:pStyle w:val="BodyText"/>
        <w:spacing w:before="10"/>
        <w:rPr>
          <w:b/>
          <w:sz w:val="13"/>
        </w:rPr>
      </w:pPr>
    </w:p>
    <w:p>
      <w:pPr>
        <w:pStyle w:val="BodyText"/>
        <w:spacing w:before="93"/>
        <w:ind w:left="840" w:right="480"/>
        <w:jc w:val="both"/>
      </w:pPr>
      <w:r>
        <w:rPr/>
        <w:t>The Office of the City Attorney is responsible for hiring and overseeing outside attorneys representing the City in litigated workers’ compensation matters. The City will designate a panel of attorneys to handle litigated cases. In such cases, the City is the client and as such is entitled to direct the handling of the litigated claims and must receive all legal correspondence. Further, TPA will not communicate directly with outside counsel without</w:t>
      </w:r>
    </w:p>
    <w:p>
      <w:pPr>
        <w:spacing w:after="0"/>
        <w:jc w:val="both"/>
        <w:sectPr>
          <w:pgSz w:w="12240" w:h="15840"/>
          <w:pgMar w:header="0" w:footer="1248" w:top="1000" w:bottom="1440" w:left="960" w:right="960"/>
        </w:sectPr>
      </w:pPr>
    </w:p>
    <w:p>
      <w:pPr>
        <w:pStyle w:val="BodyText"/>
        <w:spacing w:before="71"/>
        <w:ind w:left="840" w:right="482"/>
        <w:jc w:val="both"/>
      </w:pPr>
      <w:r>
        <w:rPr/>
        <w:pict>
          <v:group style="position:absolute;margin-left:26.160002pt;margin-top:26.160002pt;width:561.85pt;height:741.85pt;mso-position-horizontal-relative:page;mso-position-vertical-relative:page;z-index:-253976576" coordorigin="523,523" coordsize="11237,14837">
            <v:line style="position:absolute" from="523,545" to="11674,545" stroked="true" strokeweight="2.159998pt" strokecolor="#000000">
              <v:stroke dashstyle="solid"/>
            </v:line>
            <v:rect style="position:absolute;left:11673;top:523;width:44;height:44" filled="true" fillcolor="#000000" stroked="false">
              <v:fill type="solid"/>
            </v:rect>
            <v:line style="position:absolute" from="545,566" to="545,15317" stroked="true" strokeweight="2.159998pt" strokecolor="#000000">
              <v:stroke dashstyle="solid"/>
            </v:line>
            <v:line style="position:absolute" from="11717,566" to="11717,15274" stroked="true" strokeweight="4.320008pt" strokecolor="#000000">
              <v:stroke dashstyle="solid"/>
            </v:line>
            <v:line style="position:absolute" from="566,15317" to="11674,15317" stroked="true" strokeweight="4.320008pt" strokecolor="#000000">
              <v:stroke dashstyle="solid"/>
            </v:line>
            <v:shape style="position:absolute;left:11673;top:15273;width:87;height:87" coordorigin="11674,15274" coordsize="87,87" path="m11760,15274l11717,15274,11674,15274,11674,15317,11674,15360,11717,15360,11760,15360,11760,15317,11760,15274e" filled="true" fillcolor="#000000" stroked="false">
              <v:path arrowok="t"/>
              <v:fill type="solid"/>
            </v:shape>
            <w10:wrap type="none"/>
          </v:group>
        </w:pict>
      </w:r>
      <w:r>
        <w:rPr/>
        <w:t>inclusion of City Staff. TPA will follow all protocols required by the City regarding communication with defense attorney. City Attorney oversight of litigated cases includes, but is not limited to, oversight of legal services provided by outside counsel, legal bill review, approval and payment. The TPA will document all payments made by the City to each claim file.</w:t>
      </w:r>
    </w:p>
    <w:p>
      <w:pPr>
        <w:pStyle w:val="BodyText"/>
        <w:spacing w:before="10"/>
        <w:rPr>
          <w:sz w:val="21"/>
        </w:rPr>
      </w:pPr>
    </w:p>
    <w:p>
      <w:pPr>
        <w:pStyle w:val="BodyText"/>
        <w:ind w:left="840" w:right="481"/>
        <w:jc w:val="both"/>
      </w:pPr>
      <w:r>
        <w:rPr/>
        <w:t>The TPA must have approval from the City Attorney regarding representation of the City at WCAB</w:t>
      </w:r>
      <w:r>
        <w:rPr>
          <w:spacing w:val="-9"/>
        </w:rPr>
        <w:t> </w:t>
      </w:r>
      <w:r>
        <w:rPr/>
        <w:t>hearings.</w:t>
      </w:r>
      <w:r>
        <w:rPr>
          <w:spacing w:val="42"/>
        </w:rPr>
        <w:t> </w:t>
      </w:r>
      <w:r>
        <w:rPr/>
        <w:t>The</w:t>
      </w:r>
      <w:r>
        <w:rPr>
          <w:spacing w:val="-8"/>
        </w:rPr>
        <w:t> </w:t>
      </w:r>
      <w:r>
        <w:rPr/>
        <w:t>City</w:t>
      </w:r>
      <w:r>
        <w:rPr>
          <w:spacing w:val="-11"/>
        </w:rPr>
        <w:t> </w:t>
      </w:r>
      <w:r>
        <w:rPr/>
        <w:t>retains</w:t>
      </w:r>
      <w:r>
        <w:rPr>
          <w:spacing w:val="-8"/>
        </w:rPr>
        <w:t> </w:t>
      </w:r>
      <w:r>
        <w:rPr/>
        <w:t>the</w:t>
      </w:r>
      <w:r>
        <w:rPr>
          <w:spacing w:val="-9"/>
        </w:rPr>
        <w:t> </w:t>
      </w:r>
      <w:r>
        <w:rPr/>
        <w:t>right</w:t>
      </w:r>
      <w:r>
        <w:rPr>
          <w:spacing w:val="-9"/>
        </w:rPr>
        <w:t> </w:t>
      </w:r>
      <w:r>
        <w:rPr/>
        <w:t>to</w:t>
      </w:r>
      <w:r>
        <w:rPr>
          <w:spacing w:val="-9"/>
        </w:rPr>
        <w:t> </w:t>
      </w:r>
      <w:r>
        <w:rPr/>
        <w:t>determine</w:t>
      </w:r>
      <w:r>
        <w:rPr>
          <w:spacing w:val="-9"/>
        </w:rPr>
        <w:t> </w:t>
      </w:r>
      <w:r>
        <w:rPr/>
        <w:t>who</w:t>
      </w:r>
      <w:r>
        <w:rPr>
          <w:spacing w:val="-8"/>
        </w:rPr>
        <w:t> </w:t>
      </w:r>
      <w:r>
        <w:rPr/>
        <w:t>will</w:t>
      </w:r>
      <w:r>
        <w:rPr>
          <w:spacing w:val="-11"/>
        </w:rPr>
        <w:t> </w:t>
      </w:r>
      <w:r>
        <w:rPr/>
        <w:t>appear</w:t>
      </w:r>
      <w:r>
        <w:rPr>
          <w:spacing w:val="-6"/>
        </w:rPr>
        <w:t> </w:t>
      </w:r>
      <w:r>
        <w:rPr/>
        <w:t>to</w:t>
      </w:r>
      <w:r>
        <w:rPr>
          <w:spacing w:val="-10"/>
        </w:rPr>
        <w:t> </w:t>
      </w:r>
      <w:r>
        <w:rPr/>
        <w:t>represent</w:t>
      </w:r>
      <w:r>
        <w:rPr>
          <w:spacing w:val="-11"/>
        </w:rPr>
        <w:t> </w:t>
      </w:r>
      <w:r>
        <w:rPr/>
        <w:t>the</w:t>
      </w:r>
      <w:r>
        <w:rPr>
          <w:spacing w:val="-8"/>
        </w:rPr>
        <w:t> </w:t>
      </w:r>
      <w:r>
        <w:rPr/>
        <w:t>City.</w:t>
      </w:r>
    </w:p>
    <w:p>
      <w:pPr>
        <w:pStyle w:val="BodyText"/>
      </w:pPr>
    </w:p>
    <w:p>
      <w:pPr>
        <w:pStyle w:val="BodyText"/>
        <w:ind w:left="840" w:right="482"/>
        <w:jc w:val="both"/>
      </w:pPr>
      <w:r>
        <w:rPr/>
        <w:t>The City must pre-approve all settlements or structured settlements prior to entering into any settlement discussions with claimants or applicant attorneys. The City has an established settlement process that must be adhered to. The settlement process is a written process</w:t>
      </w:r>
      <w:r>
        <w:rPr>
          <w:spacing w:val="-44"/>
        </w:rPr>
        <w:t> </w:t>
      </w:r>
      <w:r>
        <w:rPr/>
        <w:t>and must be started well in advance of anticipated settlement conferences or trials. The City retains the right to assign potential claims to a structured settlement</w:t>
      </w:r>
      <w:r>
        <w:rPr>
          <w:spacing w:val="-18"/>
        </w:rPr>
        <w:t> </w:t>
      </w:r>
      <w:r>
        <w:rPr/>
        <w:t>broker.</w:t>
      </w:r>
    </w:p>
    <w:p>
      <w:pPr>
        <w:pStyle w:val="BodyText"/>
        <w:spacing w:before="1"/>
      </w:pPr>
    </w:p>
    <w:p>
      <w:pPr>
        <w:pStyle w:val="Heading4"/>
        <w:numPr>
          <w:ilvl w:val="0"/>
          <w:numId w:val="1"/>
        </w:numPr>
        <w:tabs>
          <w:tab w:pos="840" w:val="left" w:leader="none"/>
        </w:tabs>
        <w:spacing w:line="240" w:lineRule="auto" w:before="0" w:after="0"/>
        <w:ind w:left="840" w:right="0" w:hanging="360"/>
        <w:jc w:val="left"/>
      </w:pPr>
      <w:r>
        <w:rPr>
          <w:spacing w:val="-135"/>
          <w:u w:val="thick"/>
        </w:rPr>
        <w:t>F</w:t>
      </w:r>
      <w:r>
        <w:rPr>
          <w:spacing w:val="76"/>
        </w:rPr>
        <w:t> </w:t>
      </w:r>
      <w:r>
        <w:rPr>
          <w:u w:val="thick"/>
        </w:rPr>
        <w:t>raudulent Claims</w:t>
      </w:r>
    </w:p>
    <w:p>
      <w:pPr>
        <w:pStyle w:val="BodyText"/>
        <w:spacing w:before="8"/>
        <w:rPr>
          <w:b/>
          <w:sz w:val="13"/>
        </w:rPr>
      </w:pPr>
    </w:p>
    <w:p>
      <w:pPr>
        <w:pStyle w:val="BodyText"/>
        <w:spacing w:before="94"/>
        <w:ind w:left="840" w:right="483"/>
        <w:jc w:val="both"/>
      </w:pPr>
      <w:r>
        <w:rPr/>
        <w:t>The City requires the TPA to aggressively control fraud and pursue restitution in all fraud cases. The City’s Insurance Manager and Workers’ Compensation representative shall be notified</w:t>
      </w:r>
      <w:r>
        <w:rPr>
          <w:spacing w:val="-13"/>
        </w:rPr>
        <w:t> </w:t>
      </w:r>
      <w:r>
        <w:rPr/>
        <w:t>of</w:t>
      </w:r>
      <w:r>
        <w:rPr>
          <w:spacing w:val="-11"/>
        </w:rPr>
        <w:t> </w:t>
      </w:r>
      <w:r>
        <w:rPr/>
        <w:t>all</w:t>
      </w:r>
      <w:r>
        <w:rPr>
          <w:spacing w:val="-13"/>
        </w:rPr>
        <w:t> </w:t>
      </w:r>
      <w:r>
        <w:rPr/>
        <w:t>claims</w:t>
      </w:r>
      <w:r>
        <w:rPr>
          <w:spacing w:val="-11"/>
        </w:rPr>
        <w:t> </w:t>
      </w:r>
      <w:r>
        <w:rPr/>
        <w:t>involving</w:t>
      </w:r>
      <w:r>
        <w:rPr>
          <w:spacing w:val="-8"/>
        </w:rPr>
        <w:t> </w:t>
      </w:r>
      <w:r>
        <w:rPr/>
        <w:t>potential</w:t>
      </w:r>
      <w:r>
        <w:rPr>
          <w:spacing w:val="-13"/>
        </w:rPr>
        <w:t> </w:t>
      </w:r>
      <w:r>
        <w:rPr/>
        <w:t>fraud</w:t>
      </w:r>
      <w:r>
        <w:rPr>
          <w:spacing w:val="-12"/>
        </w:rPr>
        <w:t> </w:t>
      </w:r>
      <w:r>
        <w:rPr/>
        <w:t>and</w:t>
      </w:r>
      <w:r>
        <w:rPr>
          <w:spacing w:val="-13"/>
        </w:rPr>
        <w:t> </w:t>
      </w:r>
      <w:r>
        <w:rPr/>
        <w:t>will</w:t>
      </w:r>
      <w:r>
        <w:rPr>
          <w:spacing w:val="-13"/>
        </w:rPr>
        <w:t> </w:t>
      </w:r>
      <w:r>
        <w:rPr/>
        <w:t>initiate</w:t>
      </w:r>
      <w:r>
        <w:rPr>
          <w:spacing w:val="-14"/>
        </w:rPr>
        <w:t> </w:t>
      </w:r>
      <w:r>
        <w:rPr/>
        <w:t>fraud</w:t>
      </w:r>
      <w:r>
        <w:rPr>
          <w:spacing w:val="-12"/>
        </w:rPr>
        <w:t> </w:t>
      </w:r>
      <w:r>
        <w:rPr/>
        <w:t>investigation</w:t>
      </w:r>
      <w:r>
        <w:rPr>
          <w:spacing w:val="-12"/>
        </w:rPr>
        <w:t> </w:t>
      </w:r>
      <w:r>
        <w:rPr/>
        <w:t>activities</w:t>
      </w:r>
      <w:r>
        <w:rPr>
          <w:spacing w:val="-11"/>
        </w:rPr>
        <w:t> </w:t>
      </w:r>
      <w:r>
        <w:rPr/>
        <w:t>when determined necessary.</w:t>
      </w:r>
    </w:p>
    <w:p>
      <w:pPr>
        <w:pStyle w:val="BodyText"/>
        <w:spacing w:before="11"/>
        <w:rPr>
          <w:sz w:val="21"/>
        </w:rPr>
      </w:pPr>
    </w:p>
    <w:p>
      <w:pPr>
        <w:pStyle w:val="Heading4"/>
        <w:numPr>
          <w:ilvl w:val="0"/>
          <w:numId w:val="1"/>
        </w:numPr>
        <w:tabs>
          <w:tab w:pos="840" w:val="left" w:leader="none"/>
        </w:tabs>
        <w:spacing w:line="240" w:lineRule="auto" w:before="0" w:after="0"/>
        <w:ind w:left="840" w:right="0" w:hanging="360"/>
        <w:jc w:val="left"/>
      </w:pPr>
      <w:r>
        <w:rPr>
          <w:spacing w:val="-147"/>
          <w:u w:val="thick"/>
        </w:rPr>
        <w:t>E</w:t>
      </w:r>
      <w:r>
        <w:rPr>
          <w:spacing w:val="87"/>
        </w:rPr>
        <w:t> </w:t>
      </w:r>
      <w:r>
        <w:rPr>
          <w:u w:val="thick"/>
        </w:rPr>
        <w:t>xcess</w:t>
      </w:r>
      <w:r>
        <w:rPr>
          <w:spacing w:val="2"/>
          <w:u w:val="thick"/>
        </w:rPr>
        <w:t> </w:t>
      </w:r>
      <w:r>
        <w:rPr>
          <w:u w:val="thick"/>
        </w:rPr>
        <w:t>Insurance</w:t>
      </w:r>
    </w:p>
    <w:p>
      <w:pPr>
        <w:pStyle w:val="BodyText"/>
        <w:spacing w:before="11"/>
        <w:rPr>
          <w:b/>
          <w:sz w:val="13"/>
        </w:rPr>
      </w:pPr>
    </w:p>
    <w:p>
      <w:pPr>
        <w:pStyle w:val="BodyText"/>
        <w:spacing w:before="93"/>
        <w:ind w:left="840" w:right="482"/>
        <w:jc w:val="both"/>
      </w:pPr>
      <w:r>
        <w:rPr/>
        <w:t>Cases that have the potential to exceed the City’s self-insured retention shall be reported in accordance with the reporting criteria established by the excess insurance policies. All</w:t>
      </w:r>
      <w:r>
        <w:rPr>
          <w:spacing w:val="-29"/>
        </w:rPr>
        <w:t> </w:t>
      </w:r>
      <w:r>
        <w:rPr/>
        <w:t>cases that meet the established reporting criteria are to be reported within five business days of</w:t>
      </w:r>
      <w:r>
        <w:rPr>
          <w:spacing w:val="-42"/>
        </w:rPr>
        <w:t> </w:t>
      </w:r>
      <w:r>
        <w:rPr/>
        <w:t>the day on which it is known the criterion is</w:t>
      </w:r>
      <w:r>
        <w:rPr>
          <w:spacing w:val="-7"/>
        </w:rPr>
        <w:t> </w:t>
      </w:r>
      <w:r>
        <w:rPr/>
        <w:t>met.</w:t>
      </w:r>
    </w:p>
    <w:p>
      <w:pPr>
        <w:pStyle w:val="BodyText"/>
      </w:pPr>
    </w:p>
    <w:p>
      <w:pPr>
        <w:pStyle w:val="Heading4"/>
        <w:numPr>
          <w:ilvl w:val="0"/>
          <w:numId w:val="1"/>
        </w:numPr>
        <w:tabs>
          <w:tab w:pos="840" w:val="left" w:leader="none"/>
        </w:tabs>
        <w:spacing w:line="240" w:lineRule="auto" w:before="0" w:after="0"/>
        <w:ind w:left="840" w:right="0" w:hanging="360"/>
        <w:jc w:val="left"/>
      </w:pPr>
      <w:r>
        <w:rPr>
          <w:spacing w:val="-147"/>
          <w:u w:val="thick"/>
        </w:rPr>
        <w:t>P</w:t>
      </w:r>
      <w:r>
        <w:rPr>
          <w:spacing w:val="88"/>
        </w:rPr>
        <w:t> </w:t>
      </w:r>
      <w:r>
        <w:rPr>
          <w:u w:val="thick"/>
        </w:rPr>
        <w:t>enalties</w:t>
      </w:r>
    </w:p>
    <w:p>
      <w:pPr>
        <w:pStyle w:val="BodyText"/>
        <w:spacing w:before="11"/>
        <w:rPr>
          <w:b/>
          <w:sz w:val="13"/>
        </w:rPr>
      </w:pPr>
    </w:p>
    <w:p>
      <w:pPr>
        <w:pStyle w:val="BodyText"/>
        <w:spacing w:before="93"/>
        <w:ind w:left="840" w:right="475"/>
        <w:jc w:val="both"/>
      </w:pPr>
      <w:r>
        <w:rPr/>
        <w:t>Late payment of all benefits must include the self-imposed penalty in accordance with California law. The TPA will provide the City a quarterly listing of any administrative</w:t>
      </w:r>
      <w:r>
        <w:rPr>
          <w:spacing w:val="-44"/>
        </w:rPr>
        <w:t> </w:t>
      </w:r>
      <w:r>
        <w:rPr/>
        <w:t>penalties paid</w:t>
      </w:r>
      <w:r>
        <w:rPr>
          <w:spacing w:val="-6"/>
        </w:rPr>
        <w:t> </w:t>
      </w:r>
      <w:r>
        <w:rPr/>
        <w:t>in</w:t>
      </w:r>
      <w:r>
        <w:rPr>
          <w:spacing w:val="-9"/>
        </w:rPr>
        <w:t> </w:t>
      </w:r>
      <w:r>
        <w:rPr/>
        <w:t>the</w:t>
      </w:r>
      <w:r>
        <w:rPr>
          <w:spacing w:val="-10"/>
        </w:rPr>
        <w:t> </w:t>
      </w:r>
      <w:r>
        <w:rPr/>
        <w:t>quarters</w:t>
      </w:r>
      <w:r>
        <w:rPr>
          <w:spacing w:val="-9"/>
        </w:rPr>
        <w:t> </w:t>
      </w:r>
      <w:r>
        <w:rPr/>
        <w:t>ending</w:t>
      </w:r>
      <w:r>
        <w:rPr>
          <w:spacing w:val="-6"/>
        </w:rPr>
        <w:t> </w:t>
      </w:r>
      <w:r>
        <w:rPr/>
        <w:t>March</w:t>
      </w:r>
      <w:r>
        <w:rPr>
          <w:spacing w:val="-6"/>
        </w:rPr>
        <w:t> </w:t>
      </w:r>
      <w:r>
        <w:rPr/>
        <w:t>31,</w:t>
      </w:r>
      <w:r>
        <w:rPr>
          <w:spacing w:val="-6"/>
        </w:rPr>
        <w:t> </w:t>
      </w:r>
      <w:r>
        <w:rPr/>
        <w:t>June</w:t>
      </w:r>
      <w:r>
        <w:rPr>
          <w:spacing w:val="-8"/>
        </w:rPr>
        <w:t> </w:t>
      </w:r>
      <w:r>
        <w:rPr/>
        <w:t>30,</w:t>
      </w:r>
      <w:r>
        <w:rPr>
          <w:spacing w:val="-7"/>
        </w:rPr>
        <w:t> </w:t>
      </w:r>
      <w:r>
        <w:rPr/>
        <w:t>September</w:t>
      </w:r>
      <w:r>
        <w:rPr>
          <w:spacing w:val="-9"/>
        </w:rPr>
        <w:t> </w:t>
      </w:r>
      <w:r>
        <w:rPr/>
        <w:t>30,</w:t>
      </w:r>
      <w:r>
        <w:rPr>
          <w:spacing w:val="-8"/>
        </w:rPr>
        <w:t> </w:t>
      </w:r>
      <w:r>
        <w:rPr/>
        <w:t>and</w:t>
      </w:r>
      <w:r>
        <w:rPr>
          <w:spacing w:val="-8"/>
        </w:rPr>
        <w:t> </w:t>
      </w:r>
      <w:r>
        <w:rPr/>
        <w:t>December</w:t>
      </w:r>
      <w:r>
        <w:rPr>
          <w:spacing w:val="-9"/>
        </w:rPr>
        <w:t> </w:t>
      </w:r>
      <w:r>
        <w:rPr/>
        <w:t>31,</w:t>
      </w:r>
      <w:r>
        <w:rPr>
          <w:spacing w:val="-8"/>
        </w:rPr>
        <w:t> </w:t>
      </w:r>
      <w:r>
        <w:rPr/>
        <w:t>which</w:t>
      </w:r>
      <w:r>
        <w:rPr>
          <w:spacing w:val="-5"/>
        </w:rPr>
        <w:t> </w:t>
      </w:r>
      <w:r>
        <w:rPr/>
        <w:t>were the</w:t>
      </w:r>
      <w:r>
        <w:rPr>
          <w:spacing w:val="-14"/>
        </w:rPr>
        <w:t> </w:t>
      </w:r>
      <w:r>
        <w:rPr/>
        <w:t>responsibility</w:t>
      </w:r>
      <w:r>
        <w:rPr>
          <w:spacing w:val="-16"/>
        </w:rPr>
        <w:t> </w:t>
      </w:r>
      <w:r>
        <w:rPr/>
        <w:t>of</w:t>
      </w:r>
      <w:r>
        <w:rPr>
          <w:spacing w:val="-14"/>
        </w:rPr>
        <w:t> </w:t>
      </w:r>
      <w:r>
        <w:rPr/>
        <w:t>the</w:t>
      </w:r>
      <w:r>
        <w:rPr>
          <w:spacing w:val="-14"/>
        </w:rPr>
        <w:t> </w:t>
      </w:r>
      <w:r>
        <w:rPr/>
        <w:t>TPA,</w:t>
      </w:r>
      <w:r>
        <w:rPr>
          <w:spacing w:val="-9"/>
        </w:rPr>
        <w:t> </w:t>
      </w:r>
      <w:r>
        <w:rPr/>
        <w:t>and</w:t>
      </w:r>
      <w:r>
        <w:rPr>
          <w:spacing w:val="-15"/>
        </w:rPr>
        <w:t> </w:t>
      </w:r>
      <w:r>
        <w:rPr/>
        <w:t>a</w:t>
      </w:r>
      <w:r>
        <w:rPr>
          <w:spacing w:val="-12"/>
        </w:rPr>
        <w:t> </w:t>
      </w:r>
      <w:r>
        <w:rPr/>
        <w:t>check</w:t>
      </w:r>
      <w:r>
        <w:rPr>
          <w:spacing w:val="-12"/>
        </w:rPr>
        <w:t> </w:t>
      </w:r>
      <w:r>
        <w:rPr/>
        <w:t>from</w:t>
      </w:r>
      <w:r>
        <w:rPr>
          <w:spacing w:val="-12"/>
        </w:rPr>
        <w:t> </w:t>
      </w:r>
      <w:r>
        <w:rPr/>
        <w:t>the</w:t>
      </w:r>
      <w:r>
        <w:rPr>
          <w:spacing w:val="-18"/>
        </w:rPr>
        <w:t> </w:t>
      </w:r>
      <w:r>
        <w:rPr/>
        <w:t>TPA</w:t>
      </w:r>
      <w:r>
        <w:rPr>
          <w:spacing w:val="-13"/>
        </w:rPr>
        <w:t> </w:t>
      </w:r>
      <w:r>
        <w:rPr/>
        <w:t>payable</w:t>
      </w:r>
      <w:r>
        <w:rPr>
          <w:spacing w:val="-13"/>
        </w:rPr>
        <w:t> </w:t>
      </w:r>
      <w:r>
        <w:rPr/>
        <w:t>to</w:t>
      </w:r>
      <w:r>
        <w:rPr>
          <w:spacing w:val="-13"/>
        </w:rPr>
        <w:t> </w:t>
      </w:r>
      <w:r>
        <w:rPr/>
        <w:t>the</w:t>
      </w:r>
      <w:r>
        <w:rPr>
          <w:spacing w:val="-15"/>
        </w:rPr>
        <w:t> </w:t>
      </w:r>
      <w:r>
        <w:rPr/>
        <w:t>City</w:t>
      </w:r>
      <w:r>
        <w:rPr>
          <w:spacing w:val="-16"/>
        </w:rPr>
        <w:t> </w:t>
      </w:r>
      <w:r>
        <w:rPr/>
        <w:t>for</w:t>
      </w:r>
      <w:r>
        <w:rPr>
          <w:spacing w:val="-13"/>
        </w:rPr>
        <w:t> </w:t>
      </w:r>
      <w:r>
        <w:rPr/>
        <w:t>reimbursement. The</w:t>
      </w:r>
      <w:r>
        <w:rPr>
          <w:spacing w:val="-9"/>
        </w:rPr>
        <w:t> </w:t>
      </w:r>
      <w:r>
        <w:rPr/>
        <w:t>check</w:t>
      </w:r>
      <w:r>
        <w:rPr>
          <w:spacing w:val="-4"/>
        </w:rPr>
        <w:t> </w:t>
      </w:r>
      <w:r>
        <w:rPr/>
        <w:t>and</w:t>
      </w:r>
      <w:r>
        <w:rPr>
          <w:spacing w:val="-9"/>
        </w:rPr>
        <w:t> </w:t>
      </w:r>
      <w:r>
        <w:rPr/>
        <w:t>report</w:t>
      </w:r>
      <w:r>
        <w:rPr>
          <w:spacing w:val="-7"/>
        </w:rPr>
        <w:t> </w:t>
      </w:r>
      <w:r>
        <w:rPr/>
        <w:t>shall</w:t>
      </w:r>
      <w:r>
        <w:rPr>
          <w:spacing w:val="-9"/>
        </w:rPr>
        <w:t> </w:t>
      </w:r>
      <w:r>
        <w:rPr/>
        <w:t>be</w:t>
      </w:r>
      <w:r>
        <w:rPr>
          <w:spacing w:val="-7"/>
        </w:rPr>
        <w:t> </w:t>
      </w:r>
      <w:r>
        <w:rPr/>
        <w:t>submitted</w:t>
      </w:r>
      <w:r>
        <w:rPr>
          <w:spacing w:val="-8"/>
        </w:rPr>
        <w:t> </w:t>
      </w:r>
      <w:r>
        <w:rPr/>
        <w:t>to</w:t>
      </w:r>
      <w:r>
        <w:rPr>
          <w:spacing w:val="-10"/>
        </w:rPr>
        <w:t> </w:t>
      </w:r>
      <w:r>
        <w:rPr/>
        <w:t>the</w:t>
      </w:r>
      <w:r>
        <w:rPr>
          <w:spacing w:val="-7"/>
        </w:rPr>
        <w:t> </w:t>
      </w:r>
      <w:r>
        <w:rPr/>
        <w:t>City</w:t>
      </w:r>
      <w:r>
        <w:rPr>
          <w:spacing w:val="-9"/>
        </w:rPr>
        <w:t> </w:t>
      </w:r>
      <w:r>
        <w:rPr/>
        <w:t>by</w:t>
      </w:r>
      <w:r>
        <w:rPr>
          <w:spacing w:val="-10"/>
        </w:rPr>
        <w:t> </w:t>
      </w:r>
      <w:r>
        <w:rPr/>
        <w:t>the</w:t>
      </w:r>
      <w:r>
        <w:rPr>
          <w:spacing w:val="-7"/>
        </w:rPr>
        <w:t> </w:t>
      </w:r>
      <w:r>
        <w:rPr/>
        <w:t>20</w:t>
      </w:r>
      <w:r>
        <w:rPr>
          <w:position w:val="8"/>
          <w:sz w:val="14"/>
        </w:rPr>
        <w:t>th</w:t>
      </w:r>
      <w:r>
        <w:rPr>
          <w:spacing w:val="15"/>
          <w:position w:val="8"/>
          <w:sz w:val="14"/>
        </w:rPr>
        <w:t> </w:t>
      </w:r>
      <w:r>
        <w:rPr/>
        <w:t>of</w:t>
      </w:r>
      <w:r>
        <w:rPr>
          <w:spacing w:val="-6"/>
        </w:rPr>
        <w:t> </w:t>
      </w:r>
      <w:r>
        <w:rPr/>
        <w:t>the</w:t>
      </w:r>
      <w:r>
        <w:rPr>
          <w:spacing w:val="-10"/>
        </w:rPr>
        <w:t> </w:t>
      </w:r>
      <w:r>
        <w:rPr/>
        <w:t>following</w:t>
      </w:r>
      <w:r>
        <w:rPr>
          <w:spacing w:val="-6"/>
        </w:rPr>
        <w:t> </w:t>
      </w:r>
      <w:r>
        <w:rPr/>
        <w:t>month</w:t>
      </w:r>
      <w:r>
        <w:rPr>
          <w:spacing w:val="-10"/>
        </w:rPr>
        <w:t> </w:t>
      </w:r>
      <w:r>
        <w:rPr/>
        <w:t>after</w:t>
      </w:r>
      <w:r>
        <w:rPr>
          <w:spacing w:val="-10"/>
        </w:rPr>
        <w:t> </w:t>
      </w:r>
      <w:r>
        <w:rPr/>
        <w:t>the quarter</w:t>
      </w:r>
      <w:r>
        <w:rPr>
          <w:spacing w:val="-17"/>
        </w:rPr>
        <w:t> </w:t>
      </w:r>
      <w:r>
        <w:rPr/>
        <w:t>ends.</w:t>
      </w:r>
      <w:r>
        <w:rPr>
          <w:spacing w:val="-19"/>
        </w:rPr>
        <w:t> </w:t>
      </w:r>
      <w:r>
        <w:rPr/>
        <w:t>The</w:t>
      </w:r>
      <w:r>
        <w:rPr>
          <w:spacing w:val="-17"/>
        </w:rPr>
        <w:t> </w:t>
      </w:r>
      <w:r>
        <w:rPr/>
        <w:t>TPA</w:t>
      </w:r>
      <w:r>
        <w:rPr>
          <w:spacing w:val="-17"/>
        </w:rPr>
        <w:t> </w:t>
      </w:r>
      <w:r>
        <w:rPr/>
        <w:t>shall</w:t>
      </w:r>
      <w:r>
        <w:rPr>
          <w:spacing w:val="-18"/>
        </w:rPr>
        <w:t> </w:t>
      </w:r>
      <w:r>
        <w:rPr/>
        <w:t>be</w:t>
      </w:r>
      <w:r>
        <w:rPr>
          <w:spacing w:val="-16"/>
        </w:rPr>
        <w:t> </w:t>
      </w:r>
      <w:r>
        <w:rPr/>
        <w:t>responsible</w:t>
      </w:r>
      <w:r>
        <w:rPr>
          <w:spacing w:val="-19"/>
        </w:rPr>
        <w:t> </w:t>
      </w:r>
      <w:r>
        <w:rPr/>
        <w:t>for</w:t>
      </w:r>
      <w:r>
        <w:rPr>
          <w:spacing w:val="-16"/>
        </w:rPr>
        <w:t> </w:t>
      </w:r>
      <w:r>
        <w:rPr/>
        <w:t>paying</w:t>
      </w:r>
      <w:r>
        <w:rPr>
          <w:spacing w:val="-13"/>
        </w:rPr>
        <w:t> </w:t>
      </w:r>
      <w:r>
        <w:rPr/>
        <w:t>all</w:t>
      </w:r>
      <w:r>
        <w:rPr>
          <w:spacing w:val="-18"/>
        </w:rPr>
        <w:t> </w:t>
      </w:r>
      <w:r>
        <w:rPr/>
        <w:t>assessed</w:t>
      </w:r>
      <w:r>
        <w:rPr>
          <w:spacing w:val="-16"/>
        </w:rPr>
        <w:t> </w:t>
      </w:r>
      <w:r>
        <w:rPr/>
        <w:t>penalties</w:t>
      </w:r>
      <w:r>
        <w:rPr>
          <w:spacing w:val="-15"/>
        </w:rPr>
        <w:t> </w:t>
      </w:r>
      <w:r>
        <w:rPr/>
        <w:t>out</w:t>
      </w:r>
      <w:r>
        <w:rPr>
          <w:spacing w:val="-17"/>
        </w:rPr>
        <w:t> </w:t>
      </w:r>
      <w:r>
        <w:rPr/>
        <w:t>of</w:t>
      </w:r>
      <w:r>
        <w:rPr>
          <w:spacing w:val="-13"/>
        </w:rPr>
        <w:t> </w:t>
      </w:r>
      <w:r>
        <w:rPr/>
        <w:t>an</w:t>
      </w:r>
      <w:r>
        <w:rPr>
          <w:spacing w:val="-19"/>
        </w:rPr>
        <w:t> </w:t>
      </w:r>
      <w:r>
        <w:rPr/>
        <w:t>account not associated with the City of Escondido’s financial</w:t>
      </w:r>
      <w:r>
        <w:rPr>
          <w:spacing w:val="-4"/>
        </w:rPr>
        <w:t> </w:t>
      </w:r>
      <w:r>
        <w:rPr/>
        <w:t>account.</w:t>
      </w:r>
    </w:p>
    <w:p>
      <w:pPr>
        <w:pStyle w:val="BodyText"/>
        <w:spacing w:before="4"/>
        <w:rPr>
          <w:sz w:val="13"/>
        </w:rPr>
      </w:pPr>
    </w:p>
    <w:p>
      <w:pPr>
        <w:pStyle w:val="Heading4"/>
        <w:numPr>
          <w:ilvl w:val="0"/>
          <w:numId w:val="1"/>
        </w:numPr>
        <w:tabs>
          <w:tab w:pos="840" w:val="left" w:leader="none"/>
        </w:tabs>
        <w:spacing w:line="240" w:lineRule="auto" w:before="94" w:after="0"/>
        <w:ind w:left="840" w:right="0" w:hanging="360"/>
        <w:jc w:val="left"/>
      </w:pPr>
      <w:r>
        <w:rPr>
          <w:spacing w:val="-160"/>
          <w:u w:val="thick"/>
        </w:rPr>
        <w:t>C</w:t>
      </w:r>
      <w:r>
        <w:rPr>
          <w:spacing w:val="100"/>
        </w:rPr>
        <w:t> </w:t>
      </w:r>
      <w:r>
        <w:rPr>
          <w:u w:val="thick"/>
        </w:rPr>
        <w:t>ase</w:t>
      </w:r>
      <w:r>
        <w:rPr>
          <w:spacing w:val="1"/>
          <w:u w:val="thick"/>
        </w:rPr>
        <w:t> </w:t>
      </w:r>
      <w:r>
        <w:rPr>
          <w:u w:val="thick"/>
        </w:rPr>
        <w:t>Closure</w:t>
      </w:r>
    </w:p>
    <w:p>
      <w:pPr>
        <w:pStyle w:val="BodyText"/>
        <w:spacing w:before="10"/>
        <w:rPr>
          <w:b/>
          <w:sz w:val="13"/>
        </w:rPr>
      </w:pPr>
    </w:p>
    <w:p>
      <w:pPr>
        <w:pStyle w:val="BodyText"/>
        <w:spacing w:before="94"/>
        <w:ind w:left="840" w:right="481"/>
        <w:jc w:val="both"/>
      </w:pPr>
      <w:r>
        <w:rPr/>
        <w:t>The TPA supervisor shall review all inactive medical only files open beyond 90 days from</w:t>
      </w:r>
      <w:r>
        <w:rPr>
          <w:spacing w:val="-40"/>
        </w:rPr>
        <w:t> </w:t>
      </w:r>
      <w:r>
        <w:rPr/>
        <w:t>the date of entry by the TPA for potential closure or conversion to indemnity status. Inactive is defined</w:t>
      </w:r>
      <w:r>
        <w:rPr>
          <w:spacing w:val="-11"/>
        </w:rPr>
        <w:t> </w:t>
      </w:r>
      <w:r>
        <w:rPr/>
        <w:t>as</w:t>
      </w:r>
      <w:r>
        <w:rPr>
          <w:spacing w:val="-10"/>
        </w:rPr>
        <w:t> </w:t>
      </w:r>
      <w:r>
        <w:rPr/>
        <w:t>those</w:t>
      </w:r>
      <w:r>
        <w:rPr>
          <w:spacing w:val="-10"/>
        </w:rPr>
        <w:t> </w:t>
      </w:r>
      <w:r>
        <w:rPr/>
        <w:t>claims</w:t>
      </w:r>
      <w:r>
        <w:rPr>
          <w:spacing w:val="-12"/>
        </w:rPr>
        <w:t> </w:t>
      </w:r>
      <w:r>
        <w:rPr/>
        <w:t>with</w:t>
      </w:r>
      <w:r>
        <w:rPr>
          <w:spacing w:val="-11"/>
        </w:rPr>
        <w:t> </w:t>
      </w:r>
      <w:r>
        <w:rPr/>
        <w:t>no</w:t>
      </w:r>
      <w:r>
        <w:rPr>
          <w:spacing w:val="-11"/>
        </w:rPr>
        <w:t> </w:t>
      </w:r>
      <w:r>
        <w:rPr/>
        <w:t>payment,</w:t>
      </w:r>
      <w:r>
        <w:rPr>
          <w:spacing w:val="-12"/>
        </w:rPr>
        <w:t> </w:t>
      </w:r>
      <w:r>
        <w:rPr/>
        <w:t>reserve,</w:t>
      </w:r>
      <w:r>
        <w:rPr>
          <w:spacing w:val="-10"/>
        </w:rPr>
        <w:t> </w:t>
      </w:r>
      <w:r>
        <w:rPr/>
        <w:t>or</w:t>
      </w:r>
      <w:r>
        <w:rPr>
          <w:spacing w:val="-10"/>
        </w:rPr>
        <w:t> </w:t>
      </w:r>
      <w:r>
        <w:rPr/>
        <w:t>file</w:t>
      </w:r>
      <w:r>
        <w:rPr>
          <w:spacing w:val="-10"/>
        </w:rPr>
        <w:t> </w:t>
      </w:r>
      <w:r>
        <w:rPr/>
        <w:t>note</w:t>
      </w:r>
      <w:r>
        <w:rPr>
          <w:spacing w:val="-11"/>
        </w:rPr>
        <w:t> </w:t>
      </w:r>
      <w:r>
        <w:rPr/>
        <w:t>activity</w:t>
      </w:r>
      <w:r>
        <w:rPr>
          <w:spacing w:val="-12"/>
        </w:rPr>
        <w:t> </w:t>
      </w:r>
      <w:r>
        <w:rPr/>
        <w:t>during</w:t>
      </w:r>
      <w:r>
        <w:rPr>
          <w:spacing w:val="-10"/>
        </w:rPr>
        <w:t> </w:t>
      </w:r>
      <w:r>
        <w:rPr/>
        <w:t>the</w:t>
      </w:r>
      <w:r>
        <w:rPr>
          <w:spacing w:val="-11"/>
        </w:rPr>
        <w:t> </w:t>
      </w:r>
      <w:r>
        <w:rPr/>
        <w:t>prior</w:t>
      </w:r>
      <w:r>
        <w:rPr>
          <w:spacing w:val="-8"/>
        </w:rPr>
        <w:t> </w:t>
      </w:r>
      <w:r>
        <w:rPr/>
        <w:t>60</w:t>
      </w:r>
      <w:r>
        <w:rPr>
          <w:spacing w:val="-11"/>
        </w:rPr>
        <w:t> </w:t>
      </w:r>
      <w:r>
        <w:rPr/>
        <w:t>days. Claims</w:t>
      </w:r>
      <w:r>
        <w:rPr>
          <w:spacing w:val="-13"/>
        </w:rPr>
        <w:t> </w:t>
      </w:r>
      <w:r>
        <w:rPr/>
        <w:t>with</w:t>
      </w:r>
      <w:r>
        <w:rPr>
          <w:spacing w:val="-13"/>
        </w:rPr>
        <w:t> </w:t>
      </w:r>
      <w:r>
        <w:rPr/>
        <w:t>$5,000</w:t>
      </w:r>
      <w:r>
        <w:rPr>
          <w:spacing w:val="-14"/>
        </w:rPr>
        <w:t> </w:t>
      </w:r>
      <w:r>
        <w:rPr/>
        <w:t>or</w:t>
      </w:r>
      <w:r>
        <w:rPr>
          <w:spacing w:val="-13"/>
        </w:rPr>
        <w:t> </w:t>
      </w:r>
      <w:r>
        <w:rPr/>
        <w:t>more</w:t>
      </w:r>
      <w:r>
        <w:rPr>
          <w:spacing w:val="-14"/>
        </w:rPr>
        <w:t> </w:t>
      </w:r>
      <w:r>
        <w:rPr/>
        <w:t>paid-to-date</w:t>
      </w:r>
      <w:r>
        <w:rPr>
          <w:spacing w:val="-13"/>
        </w:rPr>
        <w:t> </w:t>
      </w:r>
      <w:r>
        <w:rPr/>
        <w:t>on</w:t>
      </w:r>
      <w:r>
        <w:rPr>
          <w:spacing w:val="-13"/>
        </w:rPr>
        <w:t> </w:t>
      </w:r>
      <w:r>
        <w:rPr/>
        <w:t>any</w:t>
      </w:r>
      <w:r>
        <w:rPr>
          <w:spacing w:val="-15"/>
        </w:rPr>
        <w:t> </w:t>
      </w:r>
      <w:r>
        <w:rPr/>
        <w:t>medical</w:t>
      </w:r>
      <w:r>
        <w:rPr>
          <w:spacing w:val="-12"/>
        </w:rPr>
        <w:t> </w:t>
      </w:r>
      <w:r>
        <w:rPr/>
        <w:t>only</w:t>
      </w:r>
      <w:r>
        <w:rPr>
          <w:spacing w:val="-17"/>
        </w:rPr>
        <w:t> </w:t>
      </w:r>
      <w:r>
        <w:rPr/>
        <w:t>claim</w:t>
      </w:r>
      <w:r>
        <w:rPr>
          <w:spacing w:val="-12"/>
        </w:rPr>
        <w:t> </w:t>
      </w:r>
      <w:r>
        <w:rPr/>
        <w:t>open</w:t>
      </w:r>
      <w:r>
        <w:rPr>
          <w:spacing w:val="-13"/>
        </w:rPr>
        <w:t> </w:t>
      </w:r>
      <w:r>
        <w:rPr/>
        <w:t>beyond</w:t>
      </w:r>
      <w:r>
        <w:rPr>
          <w:spacing w:val="-13"/>
        </w:rPr>
        <w:t> </w:t>
      </w:r>
      <w:r>
        <w:rPr/>
        <w:t>180</w:t>
      </w:r>
      <w:r>
        <w:rPr>
          <w:spacing w:val="-12"/>
        </w:rPr>
        <w:t> </w:t>
      </w:r>
      <w:r>
        <w:rPr/>
        <w:t>calendar days from the date of TPA entry shall be converted to indemnity status and a reasonable, precautionary indemnity reserve placed on the claim. All indemnity cases, where permanent disability</w:t>
      </w:r>
      <w:r>
        <w:rPr>
          <w:spacing w:val="-15"/>
        </w:rPr>
        <w:t> </w:t>
      </w:r>
      <w:r>
        <w:rPr/>
        <w:t>is</w:t>
      </w:r>
      <w:r>
        <w:rPr>
          <w:spacing w:val="-13"/>
        </w:rPr>
        <w:t> </w:t>
      </w:r>
      <w:r>
        <w:rPr/>
        <w:t>not</w:t>
      </w:r>
      <w:r>
        <w:rPr>
          <w:spacing w:val="-13"/>
        </w:rPr>
        <w:t> </w:t>
      </w:r>
      <w:r>
        <w:rPr/>
        <w:t>an</w:t>
      </w:r>
      <w:r>
        <w:rPr>
          <w:spacing w:val="-13"/>
        </w:rPr>
        <w:t> </w:t>
      </w:r>
      <w:r>
        <w:rPr/>
        <w:t>issue,</w:t>
      </w:r>
      <w:r>
        <w:rPr>
          <w:spacing w:val="-14"/>
        </w:rPr>
        <w:t> </w:t>
      </w:r>
      <w:r>
        <w:rPr/>
        <w:t>will</w:t>
      </w:r>
      <w:r>
        <w:rPr>
          <w:spacing w:val="-15"/>
        </w:rPr>
        <w:t> </w:t>
      </w:r>
      <w:r>
        <w:rPr/>
        <w:t>be</w:t>
      </w:r>
      <w:r>
        <w:rPr>
          <w:spacing w:val="-13"/>
        </w:rPr>
        <w:t> </w:t>
      </w:r>
      <w:r>
        <w:rPr/>
        <w:t>closed</w:t>
      </w:r>
      <w:r>
        <w:rPr>
          <w:spacing w:val="-11"/>
        </w:rPr>
        <w:t> </w:t>
      </w:r>
      <w:r>
        <w:rPr/>
        <w:t>within</w:t>
      </w:r>
      <w:r>
        <w:rPr>
          <w:spacing w:val="-14"/>
        </w:rPr>
        <w:t> </w:t>
      </w:r>
      <w:r>
        <w:rPr/>
        <w:t>60</w:t>
      </w:r>
      <w:r>
        <w:rPr>
          <w:spacing w:val="-12"/>
        </w:rPr>
        <w:t> </w:t>
      </w:r>
      <w:r>
        <w:rPr/>
        <w:t>calendar</w:t>
      </w:r>
      <w:r>
        <w:rPr>
          <w:spacing w:val="-11"/>
        </w:rPr>
        <w:t> </w:t>
      </w:r>
      <w:r>
        <w:rPr/>
        <w:t>days</w:t>
      </w:r>
      <w:r>
        <w:rPr>
          <w:spacing w:val="-13"/>
        </w:rPr>
        <w:t> </w:t>
      </w:r>
      <w:r>
        <w:rPr/>
        <w:t>of</w:t>
      </w:r>
      <w:r>
        <w:rPr>
          <w:spacing w:val="-12"/>
        </w:rPr>
        <w:t> </w:t>
      </w:r>
      <w:r>
        <w:rPr/>
        <w:t>the</w:t>
      </w:r>
      <w:r>
        <w:rPr>
          <w:spacing w:val="-15"/>
        </w:rPr>
        <w:t> </w:t>
      </w:r>
      <w:r>
        <w:rPr/>
        <w:t>final</w:t>
      </w:r>
      <w:r>
        <w:rPr>
          <w:spacing w:val="-15"/>
        </w:rPr>
        <w:t> </w:t>
      </w:r>
      <w:r>
        <w:rPr/>
        <w:t>financial</w:t>
      </w:r>
      <w:r>
        <w:rPr>
          <w:spacing w:val="-14"/>
        </w:rPr>
        <w:t> </w:t>
      </w:r>
      <w:r>
        <w:rPr/>
        <w:t>transaction or final correspondence to the injured worker as required by law. All indemnity claims, where permanent disability is an issue, will remain open for two years from the date of the last payment of benefit, then closed within 60 calendar days of that date.</w:t>
      </w:r>
    </w:p>
    <w:p>
      <w:pPr>
        <w:spacing w:after="0"/>
        <w:jc w:val="both"/>
        <w:sectPr>
          <w:footerReference w:type="default" r:id="rId9"/>
          <w:pgSz w:w="12240" w:h="15840"/>
          <w:pgMar w:footer="1248" w:header="0" w:top="740" w:bottom="1440" w:left="960" w:right="960"/>
        </w:sectPr>
      </w:pPr>
    </w:p>
    <w:p>
      <w:pPr>
        <w:pStyle w:val="Heading4"/>
        <w:numPr>
          <w:ilvl w:val="0"/>
          <w:numId w:val="1"/>
        </w:numPr>
        <w:tabs>
          <w:tab w:pos="840" w:val="left" w:leader="none"/>
        </w:tabs>
        <w:spacing w:line="240" w:lineRule="auto" w:before="75" w:after="0"/>
        <w:ind w:left="840" w:right="0" w:hanging="360"/>
        <w:jc w:val="left"/>
      </w:pPr>
      <w:r>
        <w:rPr/>
        <w:pict>
          <v:group style="position:absolute;margin-left:26.160002pt;margin-top:26.160002pt;width:561.85pt;height:741.85pt;mso-position-horizontal-relative:page;mso-position-vertical-relative:page;z-index:-253975552" coordorigin="523,523" coordsize="11237,14837">
            <v:line style="position:absolute" from="523,545" to="11674,545" stroked="true" strokeweight="2.159998pt" strokecolor="#000000">
              <v:stroke dashstyle="solid"/>
            </v:line>
            <v:rect style="position:absolute;left:11673;top:523;width:44;height:44" filled="true" fillcolor="#000000" stroked="false">
              <v:fill type="solid"/>
            </v:rect>
            <v:line style="position:absolute" from="545,566" to="545,15317" stroked="true" strokeweight="2.159998pt" strokecolor="#000000">
              <v:stroke dashstyle="solid"/>
            </v:line>
            <v:line style="position:absolute" from="11717,566" to="11717,15274" stroked="true" strokeweight="4.320008pt" strokecolor="#000000">
              <v:stroke dashstyle="solid"/>
            </v:line>
            <v:line style="position:absolute" from="566,15317" to="11674,15317" stroked="true" strokeweight="4.320008pt" strokecolor="#000000">
              <v:stroke dashstyle="solid"/>
            </v:line>
            <v:shape style="position:absolute;left:11673;top:15273;width:87;height:87" coordorigin="11674,15274" coordsize="87,87" path="m11760,15274l11717,15274,11674,15274,11674,15317,11674,15360,11717,15360,11760,15360,11760,15317,11760,15274e" filled="true" fillcolor="#000000" stroked="false">
              <v:path arrowok="t"/>
              <v:fill type="solid"/>
            </v:shape>
            <w10:wrap type="none"/>
          </v:group>
        </w:pict>
      </w:r>
      <w:r>
        <w:rPr>
          <w:spacing w:val="-160"/>
          <w:u w:val="thick"/>
        </w:rPr>
        <w:t>C</w:t>
      </w:r>
      <w:r>
        <w:rPr>
          <w:spacing w:val="101"/>
        </w:rPr>
        <w:t> </w:t>
      </w:r>
      <w:r>
        <w:rPr>
          <w:u w:val="thick"/>
        </w:rPr>
        <w:t>laims</w:t>
      </w:r>
      <w:r>
        <w:rPr>
          <w:spacing w:val="-4"/>
          <w:u w:val="thick"/>
        </w:rPr>
        <w:t> </w:t>
      </w:r>
      <w:r>
        <w:rPr>
          <w:u w:val="thick"/>
        </w:rPr>
        <w:t>Reporting</w:t>
      </w:r>
    </w:p>
    <w:p>
      <w:pPr>
        <w:pStyle w:val="BodyText"/>
        <w:spacing w:before="11"/>
        <w:rPr>
          <w:b/>
          <w:sz w:val="13"/>
        </w:rPr>
      </w:pPr>
    </w:p>
    <w:p>
      <w:pPr>
        <w:pStyle w:val="BodyText"/>
        <w:spacing w:before="93"/>
        <w:ind w:left="840" w:right="479"/>
        <w:jc w:val="both"/>
      </w:pPr>
      <w:r>
        <w:rPr/>
        <w:t>The TPA will provide monthly statistical data/reports – content to be established between</w:t>
      </w:r>
      <w:r>
        <w:rPr>
          <w:spacing w:val="-28"/>
        </w:rPr>
        <w:t> </w:t>
      </w:r>
      <w:r>
        <w:rPr/>
        <w:t>the TPA</w:t>
      </w:r>
      <w:r>
        <w:rPr>
          <w:spacing w:val="-12"/>
        </w:rPr>
        <w:t> </w:t>
      </w:r>
      <w:r>
        <w:rPr/>
        <w:t>and</w:t>
      </w:r>
      <w:r>
        <w:rPr>
          <w:spacing w:val="-13"/>
        </w:rPr>
        <w:t> </w:t>
      </w:r>
      <w:r>
        <w:rPr/>
        <w:t>the</w:t>
      </w:r>
      <w:r>
        <w:rPr>
          <w:spacing w:val="-10"/>
        </w:rPr>
        <w:t> </w:t>
      </w:r>
      <w:r>
        <w:rPr/>
        <w:t>City.</w:t>
      </w:r>
      <w:r>
        <w:rPr>
          <w:spacing w:val="34"/>
        </w:rPr>
        <w:t> </w:t>
      </w:r>
      <w:r>
        <w:rPr/>
        <w:t>The</w:t>
      </w:r>
      <w:r>
        <w:rPr>
          <w:spacing w:val="-12"/>
        </w:rPr>
        <w:t> </w:t>
      </w:r>
      <w:r>
        <w:rPr/>
        <w:t>TPA</w:t>
      </w:r>
      <w:r>
        <w:rPr>
          <w:spacing w:val="-11"/>
        </w:rPr>
        <w:t> </w:t>
      </w:r>
      <w:r>
        <w:rPr/>
        <w:t>will</w:t>
      </w:r>
      <w:r>
        <w:rPr>
          <w:spacing w:val="-12"/>
        </w:rPr>
        <w:t> </w:t>
      </w:r>
      <w:r>
        <w:rPr/>
        <w:t>provide</w:t>
      </w:r>
      <w:r>
        <w:rPr>
          <w:spacing w:val="-11"/>
        </w:rPr>
        <w:t> </w:t>
      </w:r>
      <w:r>
        <w:rPr/>
        <w:t>other</w:t>
      </w:r>
      <w:r>
        <w:rPr>
          <w:spacing w:val="-12"/>
        </w:rPr>
        <w:t> </w:t>
      </w:r>
      <w:r>
        <w:rPr/>
        <w:t>special</w:t>
      </w:r>
      <w:r>
        <w:rPr>
          <w:spacing w:val="-10"/>
        </w:rPr>
        <w:t> </w:t>
      </w:r>
      <w:r>
        <w:rPr/>
        <w:t>reports</w:t>
      </w:r>
      <w:r>
        <w:rPr>
          <w:spacing w:val="-12"/>
        </w:rPr>
        <w:t> </w:t>
      </w:r>
      <w:r>
        <w:rPr/>
        <w:t>required</w:t>
      </w:r>
      <w:r>
        <w:rPr>
          <w:spacing w:val="-11"/>
        </w:rPr>
        <w:t> </w:t>
      </w:r>
      <w:r>
        <w:rPr/>
        <w:t>of</w:t>
      </w:r>
      <w:r>
        <w:rPr>
          <w:spacing w:val="-12"/>
        </w:rPr>
        <w:t> </w:t>
      </w:r>
      <w:r>
        <w:rPr/>
        <w:t>the</w:t>
      </w:r>
      <w:r>
        <w:rPr>
          <w:spacing w:val="-10"/>
        </w:rPr>
        <w:t> </w:t>
      </w:r>
      <w:r>
        <w:rPr/>
        <w:t>City</w:t>
      </w:r>
      <w:r>
        <w:rPr>
          <w:spacing w:val="-14"/>
        </w:rPr>
        <w:t> </w:t>
      </w:r>
      <w:r>
        <w:rPr/>
        <w:t>of</w:t>
      </w:r>
      <w:r>
        <w:rPr>
          <w:spacing w:val="-11"/>
        </w:rPr>
        <w:t> </w:t>
      </w:r>
      <w:r>
        <w:rPr/>
        <w:t>Escondido including, but not limited to, loss trend reports, claim abstract reports, reports required by actuaries, excess insurance carriers, etc., provided that such reports do not require data elements</w:t>
      </w:r>
      <w:r>
        <w:rPr>
          <w:spacing w:val="-9"/>
        </w:rPr>
        <w:t> </w:t>
      </w:r>
      <w:r>
        <w:rPr/>
        <w:t>that</w:t>
      </w:r>
      <w:r>
        <w:rPr>
          <w:spacing w:val="-10"/>
        </w:rPr>
        <w:t> </w:t>
      </w:r>
      <w:r>
        <w:rPr/>
        <w:t>have</w:t>
      </w:r>
      <w:r>
        <w:rPr>
          <w:spacing w:val="-9"/>
        </w:rPr>
        <w:t> </w:t>
      </w:r>
      <w:r>
        <w:rPr/>
        <w:t>not</w:t>
      </w:r>
      <w:r>
        <w:rPr>
          <w:spacing w:val="-10"/>
        </w:rPr>
        <w:t> </w:t>
      </w:r>
      <w:r>
        <w:rPr/>
        <w:t>previously</w:t>
      </w:r>
      <w:r>
        <w:rPr>
          <w:spacing w:val="-11"/>
        </w:rPr>
        <w:t> </w:t>
      </w:r>
      <w:r>
        <w:rPr/>
        <w:t>been</w:t>
      </w:r>
      <w:r>
        <w:rPr>
          <w:spacing w:val="-9"/>
        </w:rPr>
        <w:t> </w:t>
      </w:r>
      <w:r>
        <w:rPr/>
        <w:t>collected</w:t>
      </w:r>
      <w:r>
        <w:rPr>
          <w:spacing w:val="-10"/>
        </w:rPr>
        <w:t> </w:t>
      </w:r>
      <w:r>
        <w:rPr/>
        <w:t>by</w:t>
      </w:r>
      <w:r>
        <w:rPr>
          <w:spacing w:val="-11"/>
        </w:rPr>
        <w:t> </w:t>
      </w:r>
      <w:r>
        <w:rPr/>
        <w:t>the</w:t>
      </w:r>
      <w:r>
        <w:rPr>
          <w:spacing w:val="-12"/>
        </w:rPr>
        <w:t> </w:t>
      </w:r>
      <w:r>
        <w:rPr/>
        <w:t>TPA.</w:t>
      </w:r>
      <w:r>
        <w:rPr>
          <w:spacing w:val="42"/>
        </w:rPr>
        <w:t> </w:t>
      </w:r>
      <w:r>
        <w:rPr/>
        <w:t>If</w:t>
      </w:r>
      <w:r>
        <w:rPr>
          <w:spacing w:val="-8"/>
        </w:rPr>
        <w:t> </w:t>
      </w:r>
      <w:r>
        <w:rPr/>
        <w:t>new</w:t>
      </w:r>
      <w:r>
        <w:rPr>
          <w:spacing w:val="-11"/>
        </w:rPr>
        <w:t> </w:t>
      </w:r>
      <w:r>
        <w:rPr/>
        <w:t>programming</w:t>
      </w:r>
      <w:r>
        <w:rPr>
          <w:spacing w:val="-10"/>
        </w:rPr>
        <w:t> </w:t>
      </w:r>
      <w:r>
        <w:rPr/>
        <w:t>is</w:t>
      </w:r>
      <w:r>
        <w:rPr>
          <w:spacing w:val="-11"/>
        </w:rPr>
        <w:t> </w:t>
      </w:r>
      <w:r>
        <w:rPr/>
        <w:t>required in order to provide such reports, the TPA shall pay at its own expense for new or special programming</w:t>
      </w:r>
      <w:r>
        <w:rPr>
          <w:spacing w:val="-1"/>
        </w:rPr>
        <w:t> </w:t>
      </w:r>
      <w:r>
        <w:rPr/>
        <w:t>costs.</w:t>
      </w:r>
    </w:p>
    <w:p>
      <w:pPr>
        <w:pStyle w:val="BodyText"/>
        <w:spacing w:before="11"/>
        <w:rPr>
          <w:sz w:val="21"/>
        </w:rPr>
      </w:pPr>
    </w:p>
    <w:p>
      <w:pPr>
        <w:pStyle w:val="BodyText"/>
        <w:ind w:left="840" w:right="480"/>
        <w:jc w:val="both"/>
      </w:pPr>
      <w:r>
        <w:rPr/>
        <w:t>The TPA on behalf of the City, shall prepare and file all reports, forms and other documents in a timely manner which are now or will be required by the State of California or other governmental agencies relating to workers’ compensation claims, including but not limited to the Self-Insurer’s Annual Report. TPA will present all reports to the City 30 days in advance of their due date.</w:t>
      </w:r>
    </w:p>
    <w:p>
      <w:pPr>
        <w:pStyle w:val="BodyText"/>
        <w:spacing w:before="1"/>
      </w:pPr>
    </w:p>
    <w:p>
      <w:pPr>
        <w:pStyle w:val="BodyText"/>
        <w:ind w:left="840" w:right="481"/>
        <w:jc w:val="both"/>
      </w:pPr>
      <w:r>
        <w:rPr/>
        <w:t>The TPA will comply with the Centers for Medicare &amp; Medicaid Services’ (CMS) mandatory reporting requirements per Section 111 of the Medicare, Medicaid and SCHIP Extension Act of 2007 (MMSEA). The TPA will act as the Reporting Agent for the City.</w:t>
      </w:r>
    </w:p>
    <w:p>
      <w:pPr>
        <w:pStyle w:val="BodyText"/>
        <w:spacing w:before="10"/>
        <w:rPr>
          <w:sz w:val="21"/>
        </w:rPr>
      </w:pPr>
    </w:p>
    <w:p>
      <w:pPr>
        <w:pStyle w:val="BodyText"/>
        <w:ind w:left="840" w:right="481"/>
        <w:jc w:val="both"/>
      </w:pPr>
      <w:r>
        <w:rPr/>
        <w:t>The TPA will comply with the all workers’ compensation mandatory COVID reporting requirements SB1159 or current regulations. The TPA will act as the Reporting Agent for the City.</w:t>
      </w:r>
    </w:p>
    <w:p>
      <w:pPr>
        <w:pStyle w:val="BodyText"/>
        <w:rPr>
          <w:sz w:val="14"/>
        </w:rPr>
      </w:pPr>
    </w:p>
    <w:p>
      <w:pPr>
        <w:pStyle w:val="Heading4"/>
        <w:numPr>
          <w:ilvl w:val="0"/>
          <w:numId w:val="1"/>
        </w:numPr>
        <w:tabs>
          <w:tab w:pos="840" w:val="left" w:leader="none"/>
        </w:tabs>
        <w:spacing w:line="240" w:lineRule="auto" w:before="93" w:after="0"/>
        <w:ind w:left="840" w:right="0" w:hanging="360"/>
        <w:jc w:val="left"/>
      </w:pPr>
      <w:r>
        <w:rPr>
          <w:spacing w:val="-160"/>
          <w:u w:val="thick"/>
        </w:rPr>
        <w:t>R</w:t>
      </w:r>
      <w:r>
        <w:rPr>
          <w:spacing w:val="100"/>
        </w:rPr>
        <w:t> </w:t>
      </w:r>
      <w:r>
        <w:rPr>
          <w:u w:val="thick"/>
        </w:rPr>
        <w:t>ecords</w:t>
      </w:r>
      <w:r>
        <w:rPr>
          <w:spacing w:val="1"/>
          <w:u w:val="thick"/>
        </w:rPr>
        <w:t> </w:t>
      </w:r>
      <w:r>
        <w:rPr>
          <w:u w:val="thick"/>
        </w:rPr>
        <w:t>Retention</w:t>
      </w:r>
    </w:p>
    <w:p>
      <w:pPr>
        <w:pStyle w:val="BodyText"/>
        <w:spacing w:before="11"/>
        <w:rPr>
          <w:b/>
          <w:sz w:val="13"/>
        </w:rPr>
      </w:pPr>
    </w:p>
    <w:p>
      <w:pPr>
        <w:pStyle w:val="BodyText"/>
        <w:spacing w:before="93"/>
        <w:ind w:left="840" w:right="482"/>
        <w:jc w:val="both"/>
      </w:pPr>
      <w:r>
        <w:rPr/>
        <w:t>All claim files shall be maintained in accordance with statutory time requirements and the City’s Record Retention Policy. The City shall be notified prior to any destruction of files to determine if the City wishes to retain the claim file.</w:t>
      </w:r>
    </w:p>
    <w:p>
      <w:pPr>
        <w:pStyle w:val="BodyText"/>
        <w:spacing w:before="11"/>
        <w:rPr>
          <w:sz w:val="13"/>
        </w:rPr>
      </w:pPr>
    </w:p>
    <w:p>
      <w:pPr>
        <w:pStyle w:val="Heading4"/>
        <w:numPr>
          <w:ilvl w:val="0"/>
          <w:numId w:val="1"/>
        </w:numPr>
        <w:tabs>
          <w:tab w:pos="840" w:val="left" w:leader="none"/>
        </w:tabs>
        <w:spacing w:line="240" w:lineRule="auto" w:before="93" w:after="0"/>
        <w:ind w:left="840" w:right="0" w:hanging="360"/>
        <w:jc w:val="left"/>
      </w:pPr>
      <w:r>
        <w:rPr>
          <w:spacing w:val="-160"/>
          <w:u w:val="thick"/>
        </w:rPr>
        <w:t>C</w:t>
      </w:r>
      <w:r>
        <w:rPr>
          <w:spacing w:val="100"/>
        </w:rPr>
        <w:t> </w:t>
      </w:r>
      <w:r>
        <w:rPr>
          <w:u w:val="thick"/>
        </w:rPr>
        <w:t>omputer Access</w:t>
      </w:r>
    </w:p>
    <w:p>
      <w:pPr>
        <w:pStyle w:val="BodyText"/>
        <w:spacing w:before="8"/>
        <w:rPr>
          <w:b/>
          <w:sz w:val="13"/>
        </w:rPr>
      </w:pPr>
    </w:p>
    <w:p>
      <w:pPr>
        <w:pStyle w:val="BodyText"/>
        <w:spacing w:before="94"/>
        <w:ind w:left="840" w:right="485"/>
        <w:jc w:val="both"/>
      </w:pPr>
      <w:r>
        <w:rPr/>
        <w:t>The TPA shall provide online access to its electronic claim system and provide training for use of the computer system at no additional charge to the City. The TPA’s electronic claim system shall have the following abilities:</w:t>
      </w:r>
    </w:p>
    <w:p>
      <w:pPr>
        <w:pStyle w:val="BodyText"/>
      </w:pPr>
    </w:p>
    <w:p>
      <w:pPr>
        <w:pStyle w:val="ListParagraph"/>
        <w:numPr>
          <w:ilvl w:val="1"/>
          <w:numId w:val="1"/>
        </w:numPr>
        <w:tabs>
          <w:tab w:pos="1201" w:val="left" w:leader="none"/>
        </w:tabs>
        <w:spacing w:line="252" w:lineRule="exact" w:before="1" w:after="0"/>
        <w:ind w:left="1200" w:right="0" w:hanging="361"/>
        <w:jc w:val="left"/>
        <w:rPr>
          <w:sz w:val="22"/>
        </w:rPr>
      </w:pPr>
      <w:r>
        <w:rPr>
          <w:sz w:val="22"/>
        </w:rPr>
        <w:t>Interned based claim system with access 24 hours a day, 7 days a</w:t>
      </w:r>
      <w:r>
        <w:rPr>
          <w:spacing w:val="-7"/>
          <w:sz w:val="22"/>
        </w:rPr>
        <w:t> </w:t>
      </w:r>
      <w:r>
        <w:rPr>
          <w:sz w:val="22"/>
        </w:rPr>
        <w:t>week</w:t>
      </w:r>
    </w:p>
    <w:p>
      <w:pPr>
        <w:pStyle w:val="ListParagraph"/>
        <w:numPr>
          <w:ilvl w:val="1"/>
          <w:numId w:val="1"/>
        </w:numPr>
        <w:tabs>
          <w:tab w:pos="1201" w:val="left" w:leader="none"/>
        </w:tabs>
        <w:spacing w:line="252" w:lineRule="exact" w:before="0" w:after="0"/>
        <w:ind w:left="1200" w:right="0" w:hanging="361"/>
        <w:jc w:val="left"/>
        <w:rPr>
          <w:sz w:val="22"/>
        </w:rPr>
      </w:pPr>
      <w:r>
        <w:rPr>
          <w:sz w:val="22"/>
        </w:rPr>
        <w:t>View claims with corresponding detailed</w:t>
      </w:r>
      <w:r>
        <w:rPr>
          <w:spacing w:val="4"/>
          <w:sz w:val="22"/>
        </w:rPr>
        <w:t> </w:t>
      </w:r>
      <w:r>
        <w:rPr>
          <w:sz w:val="22"/>
        </w:rPr>
        <w:t>notes</w:t>
      </w:r>
    </w:p>
    <w:p>
      <w:pPr>
        <w:pStyle w:val="ListParagraph"/>
        <w:numPr>
          <w:ilvl w:val="1"/>
          <w:numId w:val="1"/>
        </w:numPr>
        <w:tabs>
          <w:tab w:pos="1200" w:val="left" w:leader="none"/>
        </w:tabs>
        <w:spacing w:line="252" w:lineRule="exact" w:before="1" w:after="0"/>
        <w:ind w:left="1199" w:right="0" w:hanging="360"/>
        <w:jc w:val="left"/>
        <w:rPr>
          <w:sz w:val="22"/>
        </w:rPr>
      </w:pPr>
      <w:r>
        <w:rPr>
          <w:sz w:val="22"/>
        </w:rPr>
        <w:t>Secured system that complies with HIPAA Privacy and Security Rules and</w:t>
      </w:r>
      <w:r>
        <w:rPr>
          <w:spacing w:val="-17"/>
          <w:sz w:val="22"/>
        </w:rPr>
        <w:t> </w:t>
      </w:r>
      <w:r>
        <w:rPr>
          <w:sz w:val="22"/>
        </w:rPr>
        <w:t>Standards</w:t>
      </w:r>
    </w:p>
    <w:p>
      <w:pPr>
        <w:pStyle w:val="ListParagraph"/>
        <w:numPr>
          <w:ilvl w:val="1"/>
          <w:numId w:val="1"/>
        </w:numPr>
        <w:tabs>
          <w:tab w:pos="1201" w:val="left" w:leader="none"/>
        </w:tabs>
        <w:spacing w:line="252" w:lineRule="exact" w:before="0" w:after="0"/>
        <w:ind w:left="1200" w:right="0" w:hanging="361"/>
        <w:jc w:val="left"/>
        <w:rPr>
          <w:sz w:val="22"/>
        </w:rPr>
      </w:pPr>
      <w:r>
        <w:rPr>
          <w:sz w:val="22"/>
        </w:rPr>
        <w:t>Real time data</w:t>
      </w:r>
      <w:r>
        <w:rPr>
          <w:spacing w:val="-1"/>
          <w:sz w:val="22"/>
        </w:rPr>
        <w:t> </w:t>
      </w:r>
      <w:r>
        <w:rPr>
          <w:sz w:val="22"/>
        </w:rPr>
        <w:t>availability</w:t>
      </w:r>
    </w:p>
    <w:p>
      <w:pPr>
        <w:pStyle w:val="ListParagraph"/>
        <w:numPr>
          <w:ilvl w:val="1"/>
          <w:numId w:val="1"/>
        </w:numPr>
        <w:tabs>
          <w:tab w:pos="1201" w:val="left" w:leader="none"/>
        </w:tabs>
        <w:spacing w:line="240" w:lineRule="auto" w:before="2" w:after="0"/>
        <w:ind w:left="1200" w:right="483" w:hanging="360"/>
        <w:jc w:val="both"/>
        <w:rPr>
          <w:sz w:val="22"/>
        </w:rPr>
      </w:pPr>
      <w:r>
        <w:rPr>
          <w:sz w:val="22"/>
        </w:rPr>
        <w:t>Reporting capabilities including but not limited to detailed listing of all open claims and closed claims, claim by department, and claims cost</w:t>
      </w:r>
      <w:r>
        <w:rPr>
          <w:spacing w:val="-4"/>
          <w:sz w:val="22"/>
        </w:rPr>
        <w:t> </w:t>
      </w:r>
      <w:r>
        <w:rPr>
          <w:sz w:val="22"/>
        </w:rPr>
        <w:t>detail.</w:t>
      </w:r>
    </w:p>
    <w:p>
      <w:pPr>
        <w:pStyle w:val="ListParagraph"/>
        <w:numPr>
          <w:ilvl w:val="1"/>
          <w:numId w:val="1"/>
        </w:numPr>
        <w:tabs>
          <w:tab w:pos="1201" w:val="left" w:leader="none"/>
        </w:tabs>
        <w:spacing w:line="251" w:lineRule="exact" w:before="0" w:after="0"/>
        <w:ind w:left="1200" w:right="0" w:hanging="361"/>
        <w:jc w:val="both"/>
        <w:rPr>
          <w:sz w:val="22"/>
        </w:rPr>
      </w:pPr>
      <w:r>
        <w:rPr>
          <w:sz w:val="22"/>
        </w:rPr>
        <w:t>Ability to upload and attach</w:t>
      </w:r>
      <w:r>
        <w:rPr>
          <w:spacing w:val="-6"/>
          <w:sz w:val="22"/>
        </w:rPr>
        <w:t> </w:t>
      </w:r>
      <w:r>
        <w:rPr>
          <w:sz w:val="22"/>
        </w:rPr>
        <w:t>documentation</w:t>
      </w:r>
    </w:p>
    <w:p>
      <w:pPr>
        <w:pStyle w:val="ListParagraph"/>
        <w:numPr>
          <w:ilvl w:val="1"/>
          <w:numId w:val="1"/>
        </w:numPr>
        <w:tabs>
          <w:tab w:pos="1201" w:val="left" w:leader="none"/>
        </w:tabs>
        <w:spacing w:line="240" w:lineRule="auto" w:before="1" w:after="0"/>
        <w:ind w:left="1200" w:right="482" w:hanging="360"/>
        <w:jc w:val="both"/>
        <w:rPr>
          <w:sz w:val="22"/>
        </w:rPr>
      </w:pPr>
      <w:r>
        <w:rPr>
          <w:sz w:val="22"/>
        </w:rPr>
        <w:t>Customized</w:t>
      </w:r>
      <w:r>
        <w:rPr>
          <w:spacing w:val="-16"/>
          <w:sz w:val="22"/>
        </w:rPr>
        <w:t> </w:t>
      </w:r>
      <w:r>
        <w:rPr>
          <w:sz w:val="22"/>
        </w:rPr>
        <w:t>reports</w:t>
      </w:r>
      <w:r>
        <w:rPr>
          <w:spacing w:val="-17"/>
          <w:sz w:val="22"/>
        </w:rPr>
        <w:t> </w:t>
      </w:r>
      <w:r>
        <w:rPr>
          <w:sz w:val="22"/>
        </w:rPr>
        <w:t>may</w:t>
      </w:r>
      <w:r>
        <w:rPr>
          <w:spacing w:val="-18"/>
          <w:sz w:val="22"/>
        </w:rPr>
        <w:t> </w:t>
      </w:r>
      <w:r>
        <w:rPr>
          <w:sz w:val="22"/>
        </w:rPr>
        <w:t>include,</w:t>
      </w:r>
      <w:r>
        <w:rPr>
          <w:spacing w:val="-15"/>
          <w:sz w:val="22"/>
        </w:rPr>
        <w:t> </w:t>
      </w:r>
      <w:r>
        <w:rPr>
          <w:sz w:val="22"/>
        </w:rPr>
        <w:t>but</w:t>
      </w:r>
      <w:r>
        <w:rPr>
          <w:spacing w:val="-13"/>
          <w:sz w:val="22"/>
        </w:rPr>
        <w:t> </w:t>
      </w:r>
      <w:r>
        <w:rPr>
          <w:sz w:val="22"/>
        </w:rPr>
        <w:t>not</w:t>
      </w:r>
      <w:r>
        <w:rPr>
          <w:spacing w:val="-15"/>
          <w:sz w:val="22"/>
        </w:rPr>
        <w:t> </w:t>
      </w:r>
      <w:r>
        <w:rPr>
          <w:sz w:val="22"/>
        </w:rPr>
        <w:t>be</w:t>
      </w:r>
      <w:r>
        <w:rPr>
          <w:spacing w:val="-16"/>
          <w:sz w:val="22"/>
        </w:rPr>
        <w:t> </w:t>
      </w:r>
      <w:r>
        <w:rPr>
          <w:sz w:val="22"/>
        </w:rPr>
        <w:t>limited</w:t>
      </w:r>
      <w:r>
        <w:rPr>
          <w:spacing w:val="-18"/>
          <w:sz w:val="22"/>
        </w:rPr>
        <w:t> </w:t>
      </w:r>
      <w:r>
        <w:rPr>
          <w:sz w:val="22"/>
        </w:rPr>
        <w:t>to,</w:t>
      </w:r>
      <w:r>
        <w:rPr>
          <w:spacing w:val="-17"/>
          <w:sz w:val="22"/>
        </w:rPr>
        <w:t> </w:t>
      </w:r>
      <w:r>
        <w:rPr>
          <w:sz w:val="22"/>
        </w:rPr>
        <w:t>injury</w:t>
      </w:r>
      <w:r>
        <w:rPr>
          <w:spacing w:val="-22"/>
          <w:sz w:val="22"/>
        </w:rPr>
        <w:t> </w:t>
      </w:r>
      <w:r>
        <w:rPr>
          <w:sz w:val="22"/>
        </w:rPr>
        <w:t>types,</w:t>
      </w:r>
      <w:r>
        <w:rPr>
          <w:spacing w:val="-16"/>
          <w:sz w:val="22"/>
        </w:rPr>
        <w:t> </w:t>
      </w:r>
      <w:r>
        <w:rPr>
          <w:sz w:val="22"/>
        </w:rPr>
        <w:t>lost</w:t>
      </w:r>
      <w:r>
        <w:rPr>
          <w:spacing w:val="-17"/>
          <w:sz w:val="22"/>
        </w:rPr>
        <w:t> </w:t>
      </w:r>
      <w:r>
        <w:rPr>
          <w:sz w:val="22"/>
        </w:rPr>
        <w:t>workdays,</w:t>
      </w:r>
      <w:r>
        <w:rPr>
          <w:spacing w:val="-15"/>
          <w:sz w:val="22"/>
        </w:rPr>
        <w:t> </w:t>
      </w:r>
      <w:r>
        <w:rPr>
          <w:sz w:val="22"/>
        </w:rPr>
        <w:t>modified work days, loss causation, and managed care reports that track cost containment activities,</w:t>
      </w:r>
      <w:r>
        <w:rPr>
          <w:spacing w:val="-5"/>
          <w:sz w:val="22"/>
        </w:rPr>
        <w:t> </w:t>
      </w:r>
      <w:r>
        <w:rPr>
          <w:sz w:val="22"/>
        </w:rPr>
        <w:t>and</w:t>
      </w:r>
      <w:r>
        <w:rPr>
          <w:spacing w:val="-6"/>
          <w:sz w:val="22"/>
        </w:rPr>
        <w:t> </w:t>
      </w:r>
      <w:r>
        <w:rPr>
          <w:sz w:val="22"/>
        </w:rPr>
        <w:t>any</w:t>
      </w:r>
      <w:r>
        <w:rPr>
          <w:spacing w:val="-12"/>
          <w:sz w:val="22"/>
        </w:rPr>
        <w:t> </w:t>
      </w:r>
      <w:r>
        <w:rPr>
          <w:sz w:val="22"/>
        </w:rPr>
        <w:t>fees</w:t>
      </w:r>
      <w:r>
        <w:rPr>
          <w:spacing w:val="-9"/>
          <w:sz w:val="22"/>
        </w:rPr>
        <w:t> </w:t>
      </w:r>
      <w:r>
        <w:rPr>
          <w:sz w:val="22"/>
        </w:rPr>
        <w:t>charged</w:t>
      </w:r>
      <w:r>
        <w:rPr>
          <w:spacing w:val="-11"/>
          <w:sz w:val="22"/>
        </w:rPr>
        <w:t> </w:t>
      </w:r>
      <w:r>
        <w:rPr>
          <w:sz w:val="22"/>
        </w:rPr>
        <w:t>for</w:t>
      </w:r>
      <w:r>
        <w:rPr>
          <w:spacing w:val="-7"/>
          <w:sz w:val="22"/>
        </w:rPr>
        <w:t> </w:t>
      </w:r>
      <w:r>
        <w:rPr>
          <w:sz w:val="22"/>
        </w:rPr>
        <w:t>these</w:t>
      </w:r>
      <w:r>
        <w:rPr>
          <w:spacing w:val="-8"/>
          <w:sz w:val="22"/>
        </w:rPr>
        <w:t> </w:t>
      </w:r>
      <w:r>
        <w:rPr>
          <w:sz w:val="22"/>
        </w:rPr>
        <w:t>activities</w:t>
      </w:r>
      <w:r>
        <w:rPr>
          <w:spacing w:val="-7"/>
          <w:sz w:val="22"/>
        </w:rPr>
        <w:t> </w:t>
      </w:r>
      <w:r>
        <w:rPr>
          <w:sz w:val="22"/>
        </w:rPr>
        <w:t>(i.e.</w:t>
      </w:r>
      <w:r>
        <w:rPr>
          <w:spacing w:val="-7"/>
          <w:sz w:val="22"/>
        </w:rPr>
        <w:t> </w:t>
      </w:r>
      <w:r>
        <w:rPr>
          <w:sz w:val="22"/>
        </w:rPr>
        <w:t>bill</w:t>
      </w:r>
      <w:r>
        <w:rPr>
          <w:spacing w:val="-7"/>
          <w:sz w:val="22"/>
        </w:rPr>
        <w:t> </w:t>
      </w:r>
      <w:r>
        <w:rPr>
          <w:sz w:val="22"/>
        </w:rPr>
        <w:t>review,</w:t>
      </w:r>
      <w:r>
        <w:rPr>
          <w:spacing w:val="-5"/>
          <w:sz w:val="22"/>
        </w:rPr>
        <w:t> </w:t>
      </w:r>
      <w:r>
        <w:rPr>
          <w:sz w:val="22"/>
        </w:rPr>
        <w:t>utilization</w:t>
      </w:r>
      <w:r>
        <w:rPr>
          <w:spacing w:val="-7"/>
          <w:sz w:val="22"/>
        </w:rPr>
        <w:t> </w:t>
      </w:r>
      <w:r>
        <w:rPr>
          <w:sz w:val="22"/>
        </w:rPr>
        <w:t>review,</w:t>
      </w:r>
      <w:r>
        <w:rPr>
          <w:spacing w:val="-4"/>
          <w:sz w:val="22"/>
        </w:rPr>
        <w:t> </w:t>
      </w:r>
      <w:r>
        <w:rPr>
          <w:sz w:val="22"/>
        </w:rPr>
        <w:t>etc.).</w:t>
      </w:r>
    </w:p>
    <w:p>
      <w:pPr>
        <w:pStyle w:val="BodyText"/>
        <w:spacing w:before="9"/>
        <w:rPr>
          <w:sz w:val="13"/>
        </w:rPr>
      </w:pPr>
    </w:p>
    <w:p>
      <w:pPr>
        <w:pStyle w:val="Heading4"/>
        <w:numPr>
          <w:ilvl w:val="0"/>
          <w:numId w:val="1"/>
        </w:numPr>
        <w:tabs>
          <w:tab w:pos="840" w:val="left" w:leader="none"/>
        </w:tabs>
        <w:spacing w:line="240" w:lineRule="auto" w:before="93" w:after="0"/>
        <w:ind w:left="840" w:right="0" w:hanging="360"/>
        <w:jc w:val="left"/>
      </w:pPr>
      <w:r>
        <w:rPr>
          <w:spacing w:val="-160"/>
          <w:u w:val="thick"/>
        </w:rPr>
        <w:t>A</w:t>
      </w:r>
      <w:r>
        <w:rPr>
          <w:spacing w:val="98"/>
        </w:rPr>
        <w:t> </w:t>
      </w:r>
      <w:r>
        <w:rPr>
          <w:u w:val="thick"/>
        </w:rPr>
        <w:t>vailability of</w:t>
      </w:r>
      <w:r>
        <w:rPr>
          <w:spacing w:val="-3"/>
          <w:u w:val="thick"/>
        </w:rPr>
        <w:t> </w:t>
      </w:r>
      <w:r>
        <w:rPr>
          <w:u w:val="thick"/>
        </w:rPr>
        <w:t>Personnel</w:t>
      </w:r>
    </w:p>
    <w:p>
      <w:pPr>
        <w:pStyle w:val="BodyText"/>
        <w:spacing w:before="11"/>
        <w:rPr>
          <w:b/>
          <w:sz w:val="13"/>
        </w:rPr>
      </w:pPr>
    </w:p>
    <w:p>
      <w:pPr>
        <w:pStyle w:val="BodyText"/>
        <w:spacing w:before="93"/>
        <w:ind w:left="840" w:right="480"/>
      </w:pPr>
      <w:r>
        <w:rPr/>
        <w:t>The TPA shall provide dedicated adjusters to handle the City’s claims. These adjusters shall be</w:t>
      </w:r>
      <w:r>
        <w:rPr>
          <w:spacing w:val="-12"/>
        </w:rPr>
        <w:t> </w:t>
      </w:r>
      <w:r>
        <w:rPr/>
        <w:t>solely</w:t>
      </w:r>
      <w:r>
        <w:rPr>
          <w:spacing w:val="-12"/>
        </w:rPr>
        <w:t> </w:t>
      </w:r>
      <w:r>
        <w:rPr/>
        <w:t>dedicated</w:t>
      </w:r>
      <w:r>
        <w:rPr>
          <w:spacing w:val="-10"/>
        </w:rPr>
        <w:t> </w:t>
      </w:r>
      <w:r>
        <w:rPr/>
        <w:t>to</w:t>
      </w:r>
      <w:r>
        <w:rPr>
          <w:spacing w:val="-12"/>
        </w:rPr>
        <w:t> </w:t>
      </w:r>
      <w:r>
        <w:rPr/>
        <w:t>the</w:t>
      </w:r>
      <w:r>
        <w:rPr>
          <w:spacing w:val="-11"/>
        </w:rPr>
        <w:t> </w:t>
      </w:r>
      <w:r>
        <w:rPr/>
        <w:t>City’s</w:t>
      </w:r>
      <w:r>
        <w:rPr>
          <w:spacing w:val="-10"/>
        </w:rPr>
        <w:t> </w:t>
      </w:r>
      <w:r>
        <w:rPr/>
        <w:t>account</w:t>
      </w:r>
      <w:r>
        <w:rPr>
          <w:spacing w:val="-7"/>
        </w:rPr>
        <w:t> </w:t>
      </w:r>
      <w:r>
        <w:rPr/>
        <w:t>and</w:t>
      </w:r>
      <w:r>
        <w:rPr>
          <w:spacing w:val="-14"/>
        </w:rPr>
        <w:t> </w:t>
      </w:r>
      <w:r>
        <w:rPr/>
        <w:t>shall</w:t>
      </w:r>
      <w:r>
        <w:rPr>
          <w:spacing w:val="-12"/>
        </w:rPr>
        <w:t> </w:t>
      </w:r>
      <w:r>
        <w:rPr/>
        <w:t>not</w:t>
      </w:r>
      <w:r>
        <w:rPr>
          <w:spacing w:val="-10"/>
        </w:rPr>
        <w:t> </w:t>
      </w:r>
      <w:r>
        <w:rPr/>
        <w:t>work</w:t>
      </w:r>
      <w:r>
        <w:rPr>
          <w:spacing w:val="-10"/>
        </w:rPr>
        <w:t> </w:t>
      </w:r>
      <w:r>
        <w:rPr/>
        <w:t>on</w:t>
      </w:r>
      <w:r>
        <w:rPr>
          <w:spacing w:val="-11"/>
        </w:rPr>
        <w:t> </w:t>
      </w:r>
      <w:r>
        <w:rPr/>
        <w:t>another</w:t>
      </w:r>
      <w:r>
        <w:rPr>
          <w:spacing w:val="-13"/>
        </w:rPr>
        <w:t> </w:t>
      </w:r>
      <w:r>
        <w:rPr/>
        <w:t>account.</w:t>
      </w:r>
      <w:r>
        <w:rPr>
          <w:spacing w:val="38"/>
        </w:rPr>
        <w:t> </w:t>
      </w:r>
      <w:r>
        <w:rPr/>
        <w:t>One</w:t>
      </w:r>
      <w:r>
        <w:rPr>
          <w:spacing w:val="-10"/>
        </w:rPr>
        <w:t> </w:t>
      </w:r>
      <w:r>
        <w:rPr/>
        <w:t>adjuster</w:t>
      </w:r>
    </w:p>
    <w:p>
      <w:pPr>
        <w:spacing w:after="0"/>
        <w:sectPr>
          <w:footerReference w:type="default" r:id="rId10"/>
          <w:pgSz w:w="12240" w:h="15840"/>
          <w:pgMar w:footer="1248" w:header="0" w:top="1240" w:bottom="1440" w:left="960" w:right="960"/>
          <w:pgNumType w:start="1"/>
        </w:sectPr>
      </w:pPr>
    </w:p>
    <w:p>
      <w:pPr>
        <w:pStyle w:val="BodyText"/>
        <w:spacing w:before="71"/>
        <w:ind w:left="840" w:right="479"/>
        <w:jc w:val="both"/>
      </w:pPr>
      <w:r>
        <w:rPr/>
        <w:pict>
          <v:group style="position:absolute;margin-left:26.160002pt;margin-top:26.160002pt;width:561.85pt;height:741.85pt;mso-position-horizontal-relative:page;mso-position-vertical-relative:page;z-index:-253974528" coordorigin="523,523" coordsize="11237,14837">
            <v:line style="position:absolute" from="523,545" to="11674,545" stroked="true" strokeweight="2.159998pt" strokecolor="#000000">
              <v:stroke dashstyle="solid"/>
            </v:line>
            <v:rect style="position:absolute;left:11673;top:523;width:44;height:44" filled="true" fillcolor="#000000" stroked="false">
              <v:fill type="solid"/>
            </v:rect>
            <v:line style="position:absolute" from="545,566" to="545,15317" stroked="true" strokeweight="2.159998pt" strokecolor="#000000">
              <v:stroke dashstyle="solid"/>
            </v:line>
            <v:line style="position:absolute" from="11717,566" to="11717,15274" stroked="true" strokeweight="4.320008pt" strokecolor="#000000">
              <v:stroke dashstyle="solid"/>
            </v:line>
            <v:line style="position:absolute" from="566,15317" to="11674,15317" stroked="true" strokeweight="4.320008pt" strokecolor="#000000">
              <v:stroke dashstyle="solid"/>
            </v:line>
            <v:shape style="position:absolute;left:11673;top:15273;width:87;height:87" coordorigin="11674,15274" coordsize="87,87" path="m11760,15274l11717,15274,11674,15274,11674,15317,11674,15360,11717,15360,11760,15360,11760,15317,11760,15274e" filled="true" fillcolor="#000000" stroked="false">
              <v:path arrowok="t"/>
              <v:fill type="solid"/>
            </v:shape>
            <w10:wrap type="none"/>
          </v:group>
        </w:pict>
      </w:r>
      <w:r>
        <w:rPr/>
        <w:t>should</w:t>
      </w:r>
      <w:r>
        <w:rPr>
          <w:spacing w:val="-10"/>
        </w:rPr>
        <w:t> </w:t>
      </w:r>
      <w:r>
        <w:rPr/>
        <w:t>have</w:t>
      </w:r>
      <w:r>
        <w:rPr>
          <w:spacing w:val="-8"/>
        </w:rPr>
        <w:t> </w:t>
      </w:r>
      <w:r>
        <w:rPr/>
        <w:t>at</w:t>
      </w:r>
      <w:r>
        <w:rPr>
          <w:spacing w:val="-6"/>
        </w:rPr>
        <w:t> </w:t>
      </w:r>
      <w:r>
        <w:rPr/>
        <w:t>least</w:t>
      </w:r>
      <w:r>
        <w:rPr>
          <w:spacing w:val="-11"/>
        </w:rPr>
        <w:t> </w:t>
      </w:r>
      <w:r>
        <w:rPr/>
        <w:t>five</w:t>
      </w:r>
      <w:r>
        <w:rPr>
          <w:spacing w:val="-11"/>
        </w:rPr>
        <w:t> </w:t>
      </w:r>
      <w:r>
        <w:rPr/>
        <w:t>years</w:t>
      </w:r>
      <w:r>
        <w:rPr>
          <w:spacing w:val="-9"/>
        </w:rPr>
        <w:t> </w:t>
      </w:r>
      <w:r>
        <w:rPr/>
        <w:t>of</w:t>
      </w:r>
      <w:r>
        <w:rPr>
          <w:spacing w:val="-4"/>
        </w:rPr>
        <w:t> </w:t>
      </w:r>
      <w:r>
        <w:rPr/>
        <w:t>California</w:t>
      </w:r>
      <w:r>
        <w:rPr>
          <w:spacing w:val="-10"/>
        </w:rPr>
        <w:t> </w:t>
      </w:r>
      <w:r>
        <w:rPr/>
        <w:t>workers’</w:t>
      </w:r>
      <w:r>
        <w:rPr>
          <w:spacing w:val="-11"/>
        </w:rPr>
        <w:t> </w:t>
      </w:r>
      <w:r>
        <w:rPr/>
        <w:t>compensation</w:t>
      </w:r>
      <w:r>
        <w:rPr>
          <w:spacing w:val="-9"/>
        </w:rPr>
        <w:t> </w:t>
      </w:r>
      <w:r>
        <w:rPr/>
        <w:t>claims</w:t>
      </w:r>
      <w:r>
        <w:rPr>
          <w:spacing w:val="-13"/>
        </w:rPr>
        <w:t> </w:t>
      </w:r>
      <w:r>
        <w:rPr/>
        <w:t>experience</w:t>
      </w:r>
      <w:r>
        <w:rPr>
          <w:spacing w:val="-9"/>
        </w:rPr>
        <w:t> </w:t>
      </w:r>
      <w:r>
        <w:rPr/>
        <w:t>with</w:t>
      </w:r>
      <w:r>
        <w:rPr>
          <w:spacing w:val="-10"/>
        </w:rPr>
        <w:t> </w:t>
      </w:r>
      <w:r>
        <w:rPr/>
        <w:t>an organization of similar size and complexity as the City. This adjuster must be a “senior” adjuster and must be state certified to administer self-insured workers’ compensation</w:t>
      </w:r>
      <w:r>
        <w:rPr>
          <w:spacing w:val="-26"/>
        </w:rPr>
        <w:t> </w:t>
      </w:r>
      <w:r>
        <w:rPr/>
        <w:t>claims. The</w:t>
      </w:r>
      <w:r>
        <w:rPr>
          <w:spacing w:val="-17"/>
        </w:rPr>
        <w:t> </w:t>
      </w:r>
      <w:r>
        <w:rPr/>
        <w:t>second</w:t>
      </w:r>
      <w:r>
        <w:rPr>
          <w:spacing w:val="-15"/>
        </w:rPr>
        <w:t> </w:t>
      </w:r>
      <w:r>
        <w:rPr/>
        <w:t>adjuster</w:t>
      </w:r>
      <w:r>
        <w:rPr>
          <w:spacing w:val="-15"/>
        </w:rPr>
        <w:t> </w:t>
      </w:r>
      <w:r>
        <w:rPr/>
        <w:t>must</w:t>
      </w:r>
      <w:r>
        <w:rPr>
          <w:spacing w:val="-13"/>
        </w:rPr>
        <w:t> </w:t>
      </w:r>
      <w:r>
        <w:rPr/>
        <w:t>have</w:t>
      </w:r>
      <w:r>
        <w:rPr>
          <w:spacing w:val="-14"/>
        </w:rPr>
        <w:t> </w:t>
      </w:r>
      <w:r>
        <w:rPr/>
        <w:t>a</w:t>
      </w:r>
      <w:r>
        <w:rPr>
          <w:spacing w:val="-16"/>
        </w:rPr>
        <w:t> </w:t>
      </w:r>
      <w:r>
        <w:rPr/>
        <w:t>minimum</w:t>
      </w:r>
      <w:r>
        <w:rPr>
          <w:spacing w:val="-12"/>
        </w:rPr>
        <w:t> </w:t>
      </w:r>
      <w:r>
        <w:rPr/>
        <w:t>of</w:t>
      </w:r>
      <w:r>
        <w:rPr>
          <w:spacing w:val="-13"/>
        </w:rPr>
        <w:t> </w:t>
      </w:r>
      <w:r>
        <w:rPr/>
        <w:t>three</w:t>
      </w:r>
      <w:r>
        <w:rPr>
          <w:spacing w:val="-14"/>
        </w:rPr>
        <w:t> </w:t>
      </w:r>
      <w:r>
        <w:rPr/>
        <w:t>years</w:t>
      </w:r>
      <w:r>
        <w:rPr>
          <w:spacing w:val="-14"/>
        </w:rPr>
        <w:t> </w:t>
      </w:r>
      <w:r>
        <w:rPr/>
        <w:t>of</w:t>
      </w:r>
      <w:r>
        <w:rPr>
          <w:spacing w:val="-11"/>
        </w:rPr>
        <w:t> </w:t>
      </w:r>
      <w:r>
        <w:rPr/>
        <w:t>California</w:t>
      </w:r>
      <w:r>
        <w:rPr>
          <w:spacing w:val="-17"/>
        </w:rPr>
        <w:t> </w:t>
      </w:r>
      <w:r>
        <w:rPr/>
        <w:t>workers’</w:t>
      </w:r>
      <w:r>
        <w:rPr>
          <w:spacing w:val="-15"/>
        </w:rPr>
        <w:t> </w:t>
      </w:r>
      <w:r>
        <w:rPr/>
        <w:t>compensation claims experience with an organization of similar size and complexity as the</w:t>
      </w:r>
      <w:r>
        <w:rPr>
          <w:spacing w:val="-10"/>
        </w:rPr>
        <w:t> </w:t>
      </w:r>
      <w:r>
        <w:rPr/>
        <w:t>City.</w:t>
      </w:r>
    </w:p>
    <w:p>
      <w:pPr>
        <w:pStyle w:val="BodyText"/>
        <w:spacing w:before="10"/>
        <w:rPr>
          <w:sz w:val="21"/>
        </w:rPr>
      </w:pPr>
    </w:p>
    <w:p>
      <w:pPr>
        <w:pStyle w:val="BodyText"/>
        <w:ind w:left="840" w:right="480"/>
        <w:jc w:val="both"/>
      </w:pPr>
      <w:r>
        <w:rPr/>
        <w:t>The City must approve any change of an adjuster working on the City’s account. The City has the right to request a change of adjuster (or Supervisor) and be involved in the selection and/or replacement of the adjuster (or Supervisor). The City will not interfere with any progressive</w:t>
      </w:r>
      <w:r>
        <w:rPr>
          <w:spacing w:val="-11"/>
        </w:rPr>
        <w:t> </w:t>
      </w:r>
      <w:r>
        <w:rPr/>
        <w:t>discipline</w:t>
      </w:r>
      <w:r>
        <w:rPr>
          <w:spacing w:val="-10"/>
        </w:rPr>
        <w:t> </w:t>
      </w:r>
      <w:r>
        <w:rPr/>
        <w:t>and/or</w:t>
      </w:r>
      <w:r>
        <w:rPr>
          <w:spacing w:val="-11"/>
        </w:rPr>
        <w:t> </w:t>
      </w:r>
      <w:r>
        <w:rPr/>
        <w:t>personnel</w:t>
      </w:r>
      <w:r>
        <w:rPr>
          <w:spacing w:val="-12"/>
        </w:rPr>
        <w:t> </w:t>
      </w:r>
      <w:r>
        <w:rPr/>
        <w:t>issues</w:t>
      </w:r>
      <w:r>
        <w:rPr>
          <w:spacing w:val="-12"/>
        </w:rPr>
        <w:t> </w:t>
      </w:r>
      <w:r>
        <w:rPr/>
        <w:t>that</w:t>
      </w:r>
      <w:r>
        <w:rPr>
          <w:spacing w:val="-13"/>
        </w:rPr>
        <w:t> </w:t>
      </w:r>
      <w:r>
        <w:rPr/>
        <w:t>may</w:t>
      </w:r>
      <w:r>
        <w:rPr>
          <w:spacing w:val="-12"/>
        </w:rPr>
        <w:t> </w:t>
      </w:r>
      <w:r>
        <w:rPr/>
        <w:t>warrant</w:t>
      </w:r>
      <w:r>
        <w:rPr>
          <w:spacing w:val="-11"/>
        </w:rPr>
        <w:t> </w:t>
      </w:r>
      <w:r>
        <w:rPr/>
        <w:t>a</w:t>
      </w:r>
      <w:r>
        <w:rPr>
          <w:spacing w:val="-11"/>
        </w:rPr>
        <w:t> </w:t>
      </w:r>
      <w:r>
        <w:rPr/>
        <w:t>change</w:t>
      </w:r>
      <w:r>
        <w:rPr>
          <w:spacing w:val="-10"/>
        </w:rPr>
        <w:t> </w:t>
      </w:r>
      <w:r>
        <w:rPr/>
        <w:t>of</w:t>
      </w:r>
      <w:r>
        <w:rPr>
          <w:spacing w:val="-11"/>
        </w:rPr>
        <w:t> </w:t>
      </w:r>
      <w:r>
        <w:rPr/>
        <w:t>adjusters.</w:t>
      </w:r>
      <w:r>
        <w:rPr>
          <w:spacing w:val="35"/>
        </w:rPr>
        <w:t> </w:t>
      </w:r>
      <w:r>
        <w:rPr/>
        <w:t>When the adjuster is off on an extended leave the City must be notified of who will cover the workload. In the event of a same day absence, the City must be notified of the absence by 9:00 AM the same</w:t>
      </w:r>
      <w:r>
        <w:rPr>
          <w:spacing w:val="-3"/>
        </w:rPr>
        <w:t> </w:t>
      </w:r>
      <w:r>
        <w:rPr/>
        <w:t>day.</w:t>
      </w:r>
    </w:p>
    <w:p>
      <w:pPr>
        <w:pStyle w:val="BodyText"/>
      </w:pPr>
    </w:p>
    <w:p>
      <w:pPr>
        <w:pStyle w:val="BodyText"/>
        <w:ind w:left="840" w:right="483"/>
        <w:jc w:val="both"/>
      </w:pPr>
      <w:r>
        <w:rPr/>
        <w:t>The</w:t>
      </w:r>
      <w:r>
        <w:rPr>
          <w:spacing w:val="-14"/>
        </w:rPr>
        <w:t> </w:t>
      </w:r>
      <w:r>
        <w:rPr/>
        <w:t>TPA</w:t>
      </w:r>
      <w:r>
        <w:rPr>
          <w:spacing w:val="-13"/>
        </w:rPr>
        <w:t> </w:t>
      </w:r>
      <w:r>
        <w:rPr/>
        <w:t>shall</w:t>
      </w:r>
      <w:r>
        <w:rPr>
          <w:spacing w:val="-12"/>
        </w:rPr>
        <w:t> </w:t>
      </w:r>
      <w:r>
        <w:rPr/>
        <w:t>maintain</w:t>
      </w:r>
      <w:r>
        <w:rPr>
          <w:spacing w:val="-12"/>
        </w:rPr>
        <w:t> </w:t>
      </w:r>
      <w:r>
        <w:rPr/>
        <w:t>at</w:t>
      </w:r>
      <w:r>
        <w:rPr>
          <w:spacing w:val="-10"/>
        </w:rPr>
        <w:t> </w:t>
      </w:r>
      <w:r>
        <w:rPr/>
        <w:t>all</w:t>
      </w:r>
      <w:r>
        <w:rPr>
          <w:spacing w:val="-12"/>
        </w:rPr>
        <w:t> </w:t>
      </w:r>
      <w:r>
        <w:rPr/>
        <w:t>times,</w:t>
      </w:r>
      <w:r>
        <w:rPr>
          <w:spacing w:val="-11"/>
        </w:rPr>
        <w:t> </w:t>
      </w:r>
      <w:r>
        <w:rPr/>
        <w:t>one</w:t>
      </w:r>
      <w:r>
        <w:rPr>
          <w:spacing w:val="-11"/>
        </w:rPr>
        <w:t> </w:t>
      </w:r>
      <w:r>
        <w:rPr/>
        <w:t>or</w:t>
      </w:r>
      <w:r>
        <w:rPr>
          <w:spacing w:val="-10"/>
        </w:rPr>
        <w:t> </w:t>
      </w:r>
      <w:r>
        <w:rPr/>
        <w:t>more</w:t>
      </w:r>
      <w:r>
        <w:rPr>
          <w:spacing w:val="-10"/>
        </w:rPr>
        <w:t> </w:t>
      </w:r>
      <w:r>
        <w:rPr/>
        <w:t>of</w:t>
      </w:r>
      <w:r>
        <w:rPr>
          <w:spacing w:val="-11"/>
        </w:rPr>
        <w:t> </w:t>
      </w:r>
      <w:r>
        <w:rPr/>
        <w:t>the</w:t>
      </w:r>
      <w:r>
        <w:rPr>
          <w:spacing w:val="-10"/>
        </w:rPr>
        <w:t> </w:t>
      </w:r>
      <w:r>
        <w:rPr/>
        <w:t>adjusters</w:t>
      </w:r>
      <w:r>
        <w:rPr>
          <w:spacing w:val="-12"/>
        </w:rPr>
        <w:t> </w:t>
      </w:r>
      <w:r>
        <w:rPr/>
        <w:t>assigned</w:t>
      </w:r>
      <w:r>
        <w:rPr>
          <w:spacing w:val="-13"/>
        </w:rPr>
        <w:t> </w:t>
      </w:r>
      <w:r>
        <w:rPr/>
        <w:t>to</w:t>
      </w:r>
      <w:r>
        <w:rPr>
          <w:spacing w:val="-11"/>
        </w:rPr>
        <w:t> </w:t>
      </w:r>
      <w:r>
        <w:rPr/>
        <w:t>the</w:t>
      </w:r>
      <w:r>
        <w:rPr>
          <w:spacing w:val="-10"/>
        </w:rPr>
        <w:t> </w:t>
      </w:r>
      <w:r>
        <w:rPr/>
        <w:t>City’s</w:t>
      </w:r>
      <w:r>
        <w:rPr>
          <w:spacing w:val="-9"/>
        </w:rPr>
        <w:t> </w:t>
      </w:r>
      <w:r>
        <w:rPr/>
        <w:t>claims, or</w:t>
      </w:r>
      <w:r>
        <w:rPr>
          <w:spacing w:val="-15"/>
        </w:rPr>
        <w:t> </w:t>
      </w:r>
      <w:r>
        <w:rPr/>
        <w:t>in</w:t>
      </w:r>
      <w:r>
        <w:rPr>
          <w:spacing w:val="-19"/>
        </w:rPr>
        <w:t> </w:t>
      </w:r>
      <w:r>
        <w:rPr/>
        <w:t>their</w:t>
      </w:r>
      <w:r>
        <w:rPr>
          <w:spacing w:val="-16"/>
        </w:rPr>
        <w:t> </w:t>
      </w:r>
      <w:r>
        <w:rPr/>
        <w:t>absence,</w:t>
      </w:r>
      <w:r>
        <w:rPr>
          <w:spacing w:val="-14"/>
        </w:rPr>
        <w:t> </w:t>
      </w:r>
      <w:r>
        <w:rPr/>
        <w:t>the</w:t>
      </w:r>
      <w:r>
        <w:rPr>
          <w:spacing w:val="-16"/>
        </w:rPr>
        <w:t> </w:t>
      </w:r>
      <w:r>
        <w:rPr/>
        <w:t>supervisor</w:t>
      </w:r>
      <w:r>
        <w:rPr>
          <w:spacing w:val="-12"/>
        </w:rPr>
        <w:t> </w:t>
      </w:r>
      <w:r>
        <w:rPr/>
        <w:t>or</w:t>
      </w:r>
      <w:r>
        <w:rPr>
          <w:spacing w:val="-15"/>
        </w:rPr>
        <w:t> </w:t>
      </w:r>
      <w:r>
        <w:rPr/>
        <w:t>management</w:t>
      </w:r>
      <w:r>
        <w:rPr>
          <w:spacing w:val="-15"/>
        </w:rPr>
        <w:t> </w:t>
      </w:r>
      <w:r>
        <w:rPr/>
        <w:t>above</w:t>
      </w:r>
      <w:r>
        <w:rPr>
          <w:spacing w:val="-14"/>
        </w:rPr>
        <w:t> </w:t>
      </w:r>
      <w:r>
        <w:rPr/>
        <w:t>the</w:t>
      </w:r>
      <w:r>
        <w:rPr>
          <w:spacing w:val="-19"/>
        </w:rPr>
        <w:t> </w:t>
      </w:r>
      <w:r>
        <w:rPr/>
        <w:t>supervisory</w:t>
      </w:r>
      <w:r>
        <w:rPr>
          <w:spacing w:val="-15"/>
        </w:rPr>
        <w:t> </w:t>
      </w:r>
      <w:r>
        <w:rPr/>
        <w:t>level,</w:t>
      </w:r>
      <w:r>
        <w:rPr>
          <w:spacing w:val="-14"/>
        </w:rPr>
        <w:t> </w:t>
      </w:r>
      <w:r>
        <w:rPr/>
        <w:t>to</w:t>
      </w:r>
      <w:r>
        <w:rPr>
          <w:spacing w:val="-16"/>
        </w:rPr>
        <w:t> </w:t>
      </w:r>
      <w:r>
        <w:rPr/>
        <w:t>be</w:t>
      </w:r>
      <w:r>
        <w:rPr>
          <w:spacing w:val="-17"/>
        </w:rPr>
        <w:t> </w:t>
      </w:r>
      <w:r>
        <w:rPr/>
        <w:t>available by telephone for emergencies through a 24-hour emergency telephone</w:t>
      </w:r>
      <w:r>
        <w:rPr>
          <w:spacing w:val="-15"/>
        </w:rPr>
        <w:t> </w:t>
      </w:r>
      <w:r>
        <w:rPr/>
        <w:t>number.</w:t>
      </w:r>
    </w:p>
    <w:p>
      <w:pPr>
        <w:pStyle w:val="BodyText"/>
        <w:spacing w:before="11"/>
        <w:rPr>
          <w:sz w:val="13"/>
        </w:rPr>
      </w:pPr>
    </w:p>
    <w:p>
      <w:pPr>
        <w:pStyle w:val="Heading4"/>
        <w:numPr>
          <w:ilvl w:val="0"/>
          <w:numId w:val="1"/>
        </w:numPr>
        <w:tabs>
          <w:tab w:pos="840" w:val="left" w:leader="none"/>
        </w:tabs>
        <w:spacing w:line="240" w:lineRule="auto" w:before="93" w:after="0"/>
        <w:ind w:left="840" w:right="0" w:hanging="360"/>
        <w:jc w:val="left"/>
      </w:pPr>
      <w:r>
        <w:rPr>
          <w:spacing w:val="-172"/>
          <w:u w:val="thick"/>
        </w:rPr>
        <w:t>O</w:t>
      </w:r>
      <w:r>
        <w:rPr>
          <w:spacing w:val="113"/>
        </w:rPr>
        <w:t> </w:t>
      </w:r>
      <w:r>
        <w:rPr>
          <w:u w:val="thick"/>
        </w:rPr>
        <w:t>ther</w:t>
      </w:r>
      <w:r>
        <w:rPr>
          <w:spacing w:val="2"/>
          <w:u w:val="thick"/>
        </w:rPr>
        <w:t> </w:t>
      </w:r>
      <w:r>
        <w:rPr>
          <w:u w:val="thick"/>
        </w:rPr>
        <w:t>Services</w:t>
      </w:r>
    </w:p>
    <w:p>
      <w:pPr>
        <w:pStyle w:val="BodyText"/>
        <w:spacing w:before="11"/>
        <w:rPr>
          <w:b/>
          <w:sz w:val="13"/>
        </w:rPr>
      </w:pPr>
    </w:p>
    <w:p>
      <w:pPr>
        <w:pStyle w:val="BodyText"/>
        <w:spacing w:before="93"/>
        <w:ind w:left="840" w:right="483"/>
        <w:jc w:val="both"/>
      </w:pPr>
      <w:r>
        <w:rPr/>
        <w:t>The City requires coordination between the TPA and the Risk and Safety Division of Human Resources who oversees such programs as subrogation, return-to-work, Americans with Disabilities</w:t>
      </w:r>
      <w:r>
        <w:rPr>
          <w:spacing w:val="-11"/>
        </w:rPr>
        <w:t> </w:t>
      </w:r>
      <w:r>
        <w:rPr/>
        <w:t>Act</w:t>
      </w:r>
      <w:r>
        <w:rPr>
          <w:spacing w:val="-11"/>
        </w:rPr>
        <w:t> </w:t>
      </w:r>
      <w:r>
        <w:rPr/>
        <w:t>and</w:t>
      </w:r>
      <w:r>
        <w:rPr>
          <w:spacing w:val="-14"/>
        </w:rPr>
        <w:t> </w:t>
      </w:r>
      <w:r>
        <w:rPr/>
        <w:t>CalPERS</w:t>
      </w:r>
      <w:r>
        <w:rPr>
          <w:spacing w:val="-12"/>
        </w:rPr>
        <w:t> </w:t>
      </w:r>
      <w:r>
        <w:rPr/>
        <w:t>retirements.</w:t>
      </w:r>
      <w:r>
        <w:rPr>
          <w:spacing w:val="34"/>
        </w:rPr>
        <w:t> </w:t>
      </w:r>
      <w:r>
        <w:rPr/>
        <w:t>The</w:t>
      </w:r>
      <w:r>
        <w:rPr>
          <w:spacing w:val="-16"/>
        </w:rPr>
        <w:t> </w:t>
      </w:r>
      <w:r>
        <w:rPr/>
        <w:t>TPA</w:t>
      </w:r>
      <w:r>
        <w:rPr>
          <w:spacing w:val="-10"/>
        </w:rPr>
        <w:t> </w:t>
      </w:r>
      <w:r>
        <w:rPr/>
        <w:t>will</w:t>
      </w:r>
      <w:r>
        <w:rPr>
          <w:spacing w:val="-13"/>
        </w:rPr>
        <w:t> </w:t>
      </w:r>
      <w:r>
        <w:rPr/>
        <w:t>be</w:t>
      </w:r>
      <w:r>
        <w:rPr>
          <w:spacing w:val="-11"/>
        </w:rPr>
        <w:t> </w:t>
      </w:r>
      <w:r>
        <w:rPr/>
        <w:t>required</w:t>
      </w:r>
      <w:r>
        <w:rPr>
          <w:spacing w:val="-13"/>
        </w:rPr>
        <w:t> </w:t>
      </w:r>
      <w:r>
        <w:rPr/>
        <w:t>to</w:t>
      </w:r>
      <w:r>
        <w:rPr>
          <w:spacing w:val="-12"/>
        </w:rPr>
        <w:t> </w:t>
      </w:r>
      <w:r>
        <w:rPr/>
        <w:t>provide</w:t>
      </w:r>
      <w:r>
        <w:rPr>
          <w:spacing w:val="-11"/>
        </w:rPr>
        <w:t> </w:t>
      </w:r>
      <w:r>
        <w:rPr/>
        <w:t>documentation and information as needed for the City to effectively manage these</w:t>
      </w:r>
      <w:r>
        <w:rPr>
          <w:spacing w:val="-16"/>
        </w:rPr>
        <w:t> </w:t>
      </w:r>
      <w:r>
        <w:rPr/>
        <w:t>programs.</w:t>
      </w:r>
    </w:p>
    <w:p>
      <w:pPr>
        <w:pStyle w:val="BodyText"/>
      </w:pPr>
    </w:p>
    <w:p>
      <w:pPr>
        <w:pStyle w:val="BodyText"/>
        <w:ind w:left="840" w:right="482"/>
        <w:jc w:val="both"/>
      </w:pPr>
      <w:r>
        <w:rPr/>
        <w:t>The TPA will provide an annual senior-level presentation to review/discuss the overall workers’ compensation program. Presentation material will be reviewed by the Insurance Manager and/or Administrative Services Director at least seven days prior to the scheduled presentation.</w:t>
      </w:r>
    </w:p>
    <w:p>
      <w:pPr>
        <w:pStyle w:val="BodyText"/>
      </w:pPr>
    </w:p>
    <w:p>
      <w:pPr>
        <w:pStyle w:val="BodyText"/>
        <w:ind w:left="840" w:right="481"/>
        <w:jc w:val="both"/>
      </w:pPr>
      <w:r>
        <w:rPr/>
        <w:t>During</w:t>
      </w:r>
      <w:r>
        <w:rPr>
          <w:spacing w:val="-10"/>
        </w:rPr>
        <w:t> </w:t>
      </w:r>
      <w:r>
        <w:rPr/>
        <w:t>the</w:t>
      </w:r>
      <w:r>
        <w:rPr>
          <w:spacing w:val="-12"/>
        </w:rPr>
        <w:t> </w:t>
      </w:r>
      <w:r>
        <w:rPr/>
        <w:t>first</w:t>
      </w:r>
      <w:r>
        <w:rPr>
          <w:spacing w:val="-10"/>
        </w:rPr>
        <w:t> </w:t>
      </w:r>
      <w:r>
        <w:rPr/>
        <w:t>year</w:t>
      </w:r>
      <w:r>
        <w:rPr>
          <w:spacing w:val="-6"/>
        </w:rPr>
        <w:t> </w:t>
      </w:r>
      <w:r>
        <w:rPr/>
        <w:t>of</w:t>
      </w:r>
      <w:r>
        <w:rPr>
          <w:spacing w:val="-6"/>
        </w:rPr>
        <w:t> </w:t>
      </w:r>
      <w:r>
        <w:rPr/>
        <w:t>the</w:t>
      </w:r>
      <w:r>
        <w:rPr>
          <w:spacing w:val="-10"/>
        </w:rPr>
        <w:t> </w:t>
      </w:r>
      <w:r>
        <w:rPr/>
        <w:t>contract,</w:t>
      </w:r>
      <w:r>
        <w:rPr>
          <w:spacing w:val="-9"/>
        </w:rPr>
        <w:t> </w:t>
      </w:r>
      <w:r>
        <w:rPr/>
        <w:t>the</w:t>
      </w:r>
      <w:r>
        <w:rPr>
          <w:spacing w:val="-11"/>
        </w:rPr>
        <w:t> </w:t>
      </w:r>
      <w:r>
        <w:rPr/>
        <w:t>TPA</w:t>
      </w:r>
      <w:r>
        <w:rPr>
          <w:spacing w:val="-12"/>
        </w:rPr>
        <w:t> </w:t>
      </w:r>
      <w:r>
        <w:rPr/>
        <w:t>manager</w:t>
      </w:r>
      <w:r>
        <w:rPr>
          <w:spacing w:val="-7"/>
        </w:rPr>
        <w:t> </w:t>
      </w:r>
      <w:r>
        <w:rPr/>
        <w:t>will</w:t>
      </w:r>
      <w:r>
        <w:rPr>
          <w:spacing w:val="-8"/>
        </w:rPr>
        <w:t> </w:t>
      </w:r>
      <w:r>
        <w:rPr/>
        <w:t>meet</w:t>
      </w:r>
      <w:r>
        <w:rPr>
          <w:spacing w:val="-8"/>
        </w:rPr>
        <w:t> </w:t>
      </w:r>
      <w:r>
        <w:rPr/>
        <w:t>monthly</w:t>
      </w:r>
      <w:r>
        <w:rPr>
          <w:spacing w:val="-11"/>
        </w:rPr>
        <w:t> </w:t>
      </w:r>
      <w:r>
        <w:rPr/>
        <w:t>(virtual</w:t>
      </w:r>
      <w:r>
        <w:rPr>
          <w:spacing w:val="-9"/>
        </w:rPr>
        <w:t> </w:t>
      </w:r>
      <w:r>
        <w:rPr/>
        <w:t>is</w:t>
      </w:r>
      <w:r>
        <w:rPr>
          <w:spacing w:val="-12"/>
        </w:rPr>
        <w:t> </w:t>
      </w:r>
      <w:r>
        <w:rPr/>
        <w:t>acceptable) with the Insurance Manager and Human Resources Analyst to review the transition and ensure all aspects of the contract are appropriately implemented. Thereafter, meet as mutually agreed between the TPA and the</w:t>
      </w:r>
      <w:r>
        <w:rPr>
          <w:spacing w:val="-10"/>
        </w:rPr>
        <w:t> </w:t>
      </w:r>
      <w:r>
        <w:rPr/>
        <w:t>City.</w:t>
      </w:r>
    </w:p>
    <w:p>
      <w:pPr>
        <w:pStyle w:val="BodyText"/>
      </w:pPr>
    </w:p>
    <w:p>
      <w:pPr>
        <w:pStyle w:val="BodyText"/>
        <w:ind w:left="840" w:right="480"/>
        <w:jc w:val="both"/>
      </w:pPr>
      <w:r>
        <w:rPr/>
        <w:t>In the event of termination of the contract, the TPA will furnish all claim files, computer files, and</w:t>
      </w:r>
      <w:r>
        <w:rPr>
          <w:spacing w:val="-15"/>
        </w:rPr>
        <w:t> </w:t>
      </w:r>
      <w:r>
        <w:rPr/>
        <w:t>financial</w:t>
      </w:r>
      <w:r>
        <w:rPr>
          <w:spacing w:val="-13"/>
        </w:rPr>
        <w:t> </w:t>
      </w:r>
      <w:r>
        <w:rPr/>
        <w:t>information</w:t>
      </w:r>
      <w:r>
        <w:rPr>
          <w:spacing w:val="-15"/>
        </w:rPr>
        <w:t> </w:t>
      </w:r>
      <w:r>
        <w:rPr/>
        <w:t>at</w:t>
      </w:r>
      <w:r>
        <w:rPr>
          <w:spacing w:val="-9"/>
        </w:rPr>
        <w:t> </w:t>
      </w:r>
      <w:r>
        <w:rPr/>
        <w:t>no</w:t>
      </w:r>
      <w:r>
        <w:rPr>
          <w:spacing w:val="-16"/>
        </w:rPr>
        <w:t> </w:t>
      </w:r>
      <w:r>
        <w:rPr/>
        <w:t>cost</w:t>
      </w:r>
      <w:r>
        <w:rPr>
          <w:spacing w:val="-15"/>
        </w:rPr>
        <w:t> </w:t>
      </w:r>
      <w:r>
        <w:rPr/>
        <w:t>to</w:t>
      </w:r>
      <w:r>
        <w:rPr>
          <w:spacing w:val="-15"/>
        </w:rPr>
        <w:t> </w:t>
      </w:r>
      <w:r>
        <w:rPr/>
        <w:t>the</w:t>
      </w:r>
      <w:r>
        <w:rPr>
          <w:spacing w:val="-14"/>
        </w:rPr>
        <w:t> </w:t>
      </w:r>
      <w:r>
        <w:rPr/>
        <w:t>City.</w:t>
      </w:r>
      <w:r>
        <w:rPr>
          <w:spacing w:val="33"/>
        </w:rPr>
        <w:t> </w:t>
      </w:r>
      <w:r>
        <w:rPr/>
        <w:t>The</w:t>
      </w:r>
      <w:r>
        <w:rPr>
          <w:spacing w:val="-16"/>
        </w:rPr>
        <w:t> </w:t>
      </w:r>
      <w:r>
        <w:rPr/>
        <w:t>TPA</w:t>
      </w:r>
      <w:r>
        <w:rPr>
          <w:spacing w:val="-14"/>
        </w:rPr>
        <w:t> </w:t>
      </w:r>
      <w:r>
        <w:rPr/>
        <w:t>will</w:t>
      </w:r>
      <w:r>
        <w:rPr>
          <w:spacing w:val="-13"/>
        </w:rPr>
        <w:t> </w:t>
      </w:r>
      <w:r>
        <w:rPr/>
        <w:t>be</w:t>
      </w:r>
      <w:r>
        <w:rPr>
          <w:spacing w:val="-12"/>
        </w:rPr>
        <w:t> </w:t>
      </w:r>
      <w:r>
        <w:rPr/>
        <w:t>responsible</w:t>
      </w:r>
      <w:r>
        <w:rPr>
          <w:spacing w:val="-16"/>
        </w:rPr>
        <w:t> </w:t>
      </w:r>
      <w:r>
        <w:rPr/>
        <w:t>for</w:t>
      </w:r>
      <w:r>
        <w:rPr>
          <w:spacing w:val="-14"/>
        </w:rPr>
        <w:t> </w:t>
      </w:r>
      <w:r>
        <w:rPr/>
        <w:t>filing</w:t>
      </w:r>
      <w:r>
        <w:rPr>
          <w:spacing w:val="-10"/>
        </w:rPr>
        <w:t> </w:t>
      </w:r>
      <w:r>
        <w:rPr/>
        <w:t>an</w:t>
      </w:r>
      <w:r>
        <w:rPr>
          <w:spacing w:val="-13"/>
        </w:rPr>
        <w:t> </w:t>
      </w:r>
      <w:r>
        <w:rPr/>
        <w:t>interim annual Self-Insured Report and any other required State of California</w:t>
      </w:r>
      <w:r>
        <w:rPr>
          <w:spacing w:val="-16"/>
        </w:rPr>
        <w:t> </w:t>
      </w:r>
      <w:r>
        <w:rPr/>
        <w:t>reports.</w:t>
      </w:r>
    </w:p>
    <w:p>
      <w:pPr>
        <w:pStyle w:val="BodyText"/>
        <w:spacing w:before="8"/>
        <w:rPr>
          <w:sz w:val="13"/>
        </w:rPr>
      </w:pPr>
    </w:p>
    <w:p>
      <w:pPr>
        <w:pStyle w:val="Heading4"/>
        <w:numPr>
          <w:ilvl w:val="0"/>
          <w:numId w:val="1"/>
        </w:numPr>
        <w:tabs>
          <w:tab w:pos="840" w:val="left" w:leader="none"/>
        </w:tabs>
        <w:spacing w:line="240" w:lineRule="auto" w:before="94" w:after="0"/>
        <w:ind w:left="840" w:right="0" w:hanging="360"/>
        <w:jc w:val="left"/>
      </w:pPr>
      <w:r>
        <w:rPr>
          <w:spacing w:val="-160"/>
          <w:u w:val="thick"/>
        </w:rPr>
        <w:t>R</w:t>
      </w:r>
      <w:r>
        <w:rPr>
          <w:spacing w:val="101"/>
        </w:rPr>
        <w:t> </w:t>
      </w:r>
      <w:r>
        <w:rPr>
          <w:u w:val="thick"/>
        </w:rPr>
        <w:t>ight to Audit or</w:t>
      </w:r>
      <w:r>
        <w:rPr>
          <w:spacing w:val="-1"/>
          <w:u w:val="thick"/>
        </w:rPr>
        <w:t> </w:t>
      </w:r>
      <w:r>
        <w:rPr>
          <w:u w:val="thick"/>
        </w:rPr>
        <w:t>Review</w:t>
      </w:r>
    </w:p>
    <w:p>
      <w:pPr>
        <w:pStyle w:val="BodyText"/>
        <w:spacing w:before="10"/>
        <w:rPr>
          <w:b/>
          <w:sz w:val="13"/>
        </w:rPr>
      </w:pPr>
    </w:p>
    <w:p>
      <w:pPr>
        <w:pStyle w:val="BodyText"/>
        <w:spacing w:before="94"/>
        <w:ind w:left="840" w:right="483"/>
        <w:jc w:val="both"/>
      </w:pPr>
      <w:r>
        <w:rPr/>
        <w:t>Every claim file is subject to audit by the City representatives at the City’s expense. Notice</w:t>
      </w:r>
      <w:r>
        <w:rPr>
          <w:spacing w:val="-31"/>
        </w:rPr>
        <w:t> </w:t>
      </w:r>
      <w:r>
        <w:rPr/>
        <w:t>of audit by the City’s representative will be provided at least 10 calendar days prior to an audit. The City retains the right to audit any file with 24-hours’</w:t>
      </w:r>
      <w:r>
        <w:rPr>
          <w:spacing w:val="-12"/>
        </w:rPr>
        <w:t> </w:t>
      </w:r>
      <w:r>
        <w:rPr/>
        <w:t>notice.</w:t>
      </w:r>
    </w:p>
    <w:p>
      <w:pPr>
        <w:pStyle w:val="BodyText"/>
      </w:pPr>
    </w:p>
    <w:p>
      <w:pPr>
        <w:pStyle w:val="Heading4"/>
        <w:numPr>
          <w:ilvl w:val="0"/>
          <w:numId w:val="1"/>
        </w:numPr>
        <w:tabs>
          <w:tab w:pos="840" w:val="left" w:leader="none"/>
        </w:tabs>
        <w:spacing w:line="240" w:lineRule="auto" w:before="1" w:after="0"/>
        <w:ind w:left="840" w:right="0" w:hanging="360"/>
        <w:jc w:val="left"/>
      </w:pPr>
      <w:r>
        <w:rPr>
          <w:rFonts w:ascii="Times New Roman"/>
          <w:b w:val="0"/>
          <w:spacing w:val="-55"/>
          <w:w w:val="100"/>
          <w:u w:val="thick"/>
        </w:rPr>
        <w:t> </w:t>
      </w:r>
      <w:r>
        <w:rPr>
          <w:u w:val="thick"/>
        </w:rPr>
        <w:t>Conflict of</w:t>
      </w:r>
      <w:r>
        <w:rPr>
          <w:spacing w:val="-1"/>
          <w:u w:val="thick"/>
        </w:rPr>
        <w:t> </w:t>
      </w:r>
      <w:r>
        <w:rPr>
          <w:u w:val="thick"/>
        </w:rPr>
        <w:t>Interest</w:t>
      </w:r>
    </w:p>
    <w:p>
      <w:pPr>
        <w:pStyle w:val="BodyText"/>
        <w:spacing w:before="10"/>
        <w:rPr>
          <w:b/>
          <w:sz w:val="13"/>
        </w:rPr>
      </w:pPr>
    </w:p>
    <w:p>
      <w:pPr>
        <w:pStyle w:val="BodyText"/>
        <w:spacing w:before="94"/>
        <w:ind w:left="840" w:right="479"/>
        <w:jc w:val="both"/>
      </w:pPr>
      <w:r>
        <w:rPr/>
        <w:t>The TPA shall avoid all conflicts of interest or appearance of conflicts of interest in performance of the agreement. If, during any given year, the TPA receives compensation,</w:t>
      </w:r>
      <w:r>
        <w:rPr>
          <w:spacing w:val="-42"/>
        </w:rPr>
        <w:t> </w:t>
      </w:r>
      <w:r>
        <w:rPr/>
        <w:t>in any form, from any party for services included in the agreement, such as bill review</w:t>
      </w:r>
      <w:r>
        <w:rPr>
          <w:spacing w:val="-33"/>
        </w:rPr>
        <w:t> </w:t>
      </w:r>
      <w:r>
        <w:rPr/>
        <w:t>services, managed care or investigations, the TPA shall disclose total compensation received in the prior year. Such disclosure shall be in the form of a letter and shall be received by the City no later than April 1 of each</w:t>
      </w:r>
      <w:r>
        <w:rPr>
          <w:spacing w:val="-4"/>
        </w:rPr>
        <w:t> </w:t>
      </w:r>
      <w:r>
        <w:rPr/>
        <w:t>year.</w:t>
      </w:r>
    </w:p>
    <w:p>
      <w:pPr>
        <w:spacing w:after="0"/>
        <w:jc w:val="both"/>
        <w:sectPr>
          <w:pgSz w:w="12240" w:h="15840"/>
          <w:pgMar w:header="0" w:footer="1248" w:top="740" w:bottom="1440" w:left="960" w:right="960"/>
        </w:sectPr>
      </w:pPr>
    </w:p>
    <w:p>
      <w:pPr>
        <w:pStyle w:val="Heading4"/>
        <w:numPr>
          <w:ilvl w:val="0"/>
          <w:numId w:val="1"/>
        </w:numPr>
        <w:tabs>
          <w:tab w:pos="840" w:val="left" w:leader="none"/>
        </w:tabs>
        <w:spacing w:line="240" w:lineRule="auto" w:before="63" w:after="0"/>
        <w:ind w:left="840" w:right="0" w:hanging="360"/>
        <w:jc w:val="left"/>
      </w:pPr>
      <w:r>
        <w:rPr/>
        <w:pict>
          <v:group style="position:absolute;margin-left:26.160002pt;margin-top:26.160002pt;width:561.85pt;height:741.85pt;mso-position-horizontal-relative:page;mso-position-vertical-relative:page;z-index:-253973504" coordorigin="523,523" coordsize="11237,14837">
            <v:line style="position:absolute" from="523,545" to="11674,545" stroked="true" strokeweight="2.159998pt" strokecolor="#000000">
              <v:stroke dashstyle="solid"/>
            </v:line>
            <v:rect style="position:absolute;left:11673;top:523;width:44;height:44" filled="true" fillcolor="#000000" stroked="false">
              <v:fill type="solid"/>
            </v:rect>
            <v:line style="position:absolute" from="545,566" to="545,15317" stroked="true" strokeweight="2.159998pt" strokecolor="#000000">
              <v:stroke dashstyle="solid"/>
            </v:line>
            <v:line style="position:absolute" from="11717,566" to="11717,15274" stroked="true" strokeweight="4.320008pt" strokecolor="#000000">
              <v:stroke dashstyle="solid"/>
            </v:line>
            <v:line style="position:absolute" from="566,15317" to="11674,15317" stroked="true" strokeweight="4.320008pt" strokecolor="#000000">
              <v:stroke dashstyle="solid"/>
            </v:line>
            <v:shape style="position:absolute;left:11673;top:15273;width:87;height:87" coordorigin="11674,15274" coordsize="87,87" path="m11760,15274l11717,15274,11674,15274,11674,15317,11674,15360,11717,15360,11760,15360,11760,15317,11760,15274e" filled="true" fillcolor="#000000" stroked="false">
              <v:path arrowok="t"/>
              <v:fill type="solid"/>
            </v:shape>
            <w10:wrap type="none"/>
          </v:group>
        </w:pict>
      </w:r>
      <w:r>
        <w:rPr>
          <w:spacing w:val="-160"/>
          <w:u w:val="thick"/>
        </w:rPr>
        <w:t>C</w:t>
      </w:r>
      <w:r>
        <w:rPr>
          <w:spacing w:val="100"/>
        </w:rPr>
        <w:t> </w:t>
      </w:r>
      <w:r>
        <w:rPr>
          <w:u w:val="thick"/>
        </w:rPr>
        <w:t>onfidentiality</w:t>
      </w:r>
    </w:p>
    <w:p>
      <w:pPr>
        <w:pStyle w:val="BodyText"/>
        <w:spacing w:before="11"/>
        <w:rPr>
          <w:b/>
          <w:sz w:val="13"/>
        </w:rPr>
      </w:pPr>
    </w:p>
    <w:p>
      <w:pPr>
        <w:pStyle w:val="BodyText"/>
        <w:spacing w:before="93"/>
        <w:ind w:left="840" w:right="479"/>
        <w:jc w:val="both"/>
      </w:pPr>
      <w:r>
        <w:rPr/>
        <w:t>All data, documents, or other information developed or received, verbally or in writing, in performance of the agreement between the TPA and the City are confidential and not to be disclosed to any person except as authorized by the City, the TPA or as required by law.</w:t>
      </w:r>
    </w:p>
    <w:p>
      <w:pPr>
        <w:pStyle w:val="BodyText"/>
        <w:spacing w:before="10"/>
        <w:rPr>
          <w:sz w:val="21"/>
        </w:rPr>
      </w:pPr>
    </w:p>
    <w:p>
      <w:pPr>
        <w:pStyle w:val="BodyText"/>
        <w:ind w:left="840" w:right="482"/>
        <w:jc w:val="both"/>
      </w:pPr>
      <w:r>
        <w:rPr/>
        <w:t>It is the TPA’s responsibility to develop and implement processes and procedures relating to the</w:t>
      </w:r>
      <w:r>
        <w:rPr>
          <w:spacing w:val="-16"/>
        </w:rPr>
        <w:t> </w:t>
      </w:r>
      <w:r>
        <w:rPr/>
        <w:t>protection</w:t>
      </w:r>
      <w:r>
        <w:rPr>
          <w:spacing w:val="-15"/>
        </w:rPr>
        <w:t> </w:t>
      </w:r>
      <w:r>
        <w:rPr/>
        <w:t>of</w:t>
      </w:r>
      <w:r>
        <w:rPr>
          <w:spacing w:val="-17"/>
        </w:rPr>
        <w:t> </w:t>
      </w:r>
      <w:r>
        <w:rPr/>
        <w:t>the</w:t>
      </w:r>
      <w:r>
        <w:rPr>
          <w:spacing w:val="-16"/>
        </w:rPr>
        <w:t> </w:t>
      </w:r>
      <w:r>
        <w:rPr/>
        <w:t>City</w:t>
      </w:r>
      <w:r>
        <w:rPr>
          <w:spacing w:val="-20"/>
        </w:rPr>
        <w:t> </w:t>
      </w:r>
      <w:r>
        <w:rPr/>
        <w:t>of</w:t>
      </w:r>
      <w:r>
        <w:rPr>
          <w:spacing w:val="-12"/>
        </w:rPr>
        <w:t> </w:t>
      </w:r>
      <w:r>
        <w:rPr/>
        <w:t>Escondido’s</w:t>
      </w:r>
      <w:r>
        <w:rPr>
          <w:spacing w:val="-17"/>
        </w:rPr>
        <w:t> </w:t>
      </w:r>
      <w:r>
        <w:rPr/>
        <w:t>electronic</w:t>
      </w:r>
      <w:r>
        <w:rPr>
          <w:spacing w:val="-17"/>
        </w:rPr>
        <w:t> </w:t>
      </w:r>
      <w:r>
        <w:rPr/>
        <w:t>data,</w:t>
      </w:r>
      <w:r>
        <w:rPr>
          <w:spacing w:val="-16"/>
        </w:rPr>
        <w:t> </w:t>
      </w:r>
      <w:r>
        <w:rPr/>
        <w:t>including</w:t>
      </w:r>
      <w:r>
        <w:rPr>
          <w:spacing w:val="-15"/>
        </w:rPr>
        <w:t> </w:t>
      </w:r>
      <w:r>
        <w:rPr/>
        <w:t>a</w:t>
      </w:r>
      <w:r>
        <w:rPr>
          <w:spacing w:val="-19"/>
        </w:rPr>
        <w:t> </w:t>
      </w:r>
      <w:r>
        <w:rPr/>
        <w:t>suitable</w:t>
      </w:r>
      <w:r>
        <w:rPr>
          <w:spacing w:val="-19"/>
        </w:rPr>
        <w:t> </w:t>
      </w:r>
      <w:r>
        <w:rPr/>
        <w:t>security</w:t>
      </w:r>
      <w:r>
        <w:rPr>
          <w:spacing w:val="-17"/>
        </w:rPr>
        <w:t> </w:t>
      </w:r>
      <w:r>
        <w:rPr/>
        <w:t>and</w:t>
      </w:r>
      <w:r>
        <w:rPr>
          <w:spacing w:val="-19"/>
        </w:rPr>
        <w:t> </w:t>
      </w:r>
      <w:r>
        <w:rPr/>
        <w:t>back- up system for all stored data and a written policy with respect to disaster recovery, physical and electronic data security, and electronic data</w:t>
      </w:r>
      <w:r>
        <w:rPr>
          <w:spacing w:val="-10"/>
        </w:rPr>
        <w:t> </w:t>
      </w:r>
      <w:r>
        <w:rPr/>
        <w:t>retention.</w:t>
      </w:r>
    </w:p>
    <w:p>
      <w:pPr>
        <w:pStyle w:val="BodyText"/>
        <w:spacing w:before="10"/>
        <w:rPr>
          <w:sz w:val="13"/>
        </w:rPr>
      </w:pPr>
    </w:p>
    <w:p>
      <w:pPr>
        <w:pStyle w:val="Heading4"/>
        <w:numPr>
          <w:ilvl w:val="0"/>
          <w:numId w:val="1"/>
        </w:numPr>
        <w:tabs>
          <w:tab w:pos="840" w:val="left" w:leader="none"/>
        </w:tabs>
        <w:spacing w:line="240" w:lineRule="auto" w:before="93" w:after="0"/>
        <w:ind w:left="840" w:right="0" w:hanging="360"/>
        <w:jc w:val="left"/>
      </w:pPr>
      <w:r>
        <w:rPr>
          <w:spacing w:val="-160"/>
          <w:u w:val="thick"/>
        </w:rPr>
        <w:t>B</w:t>
      </w:r>
      <w:r>
        <w:rPr>
          <w:spacing w:val="100"/>
        </w:rPr>
        <w:t> </w:t>
      </w:r>
      <w:r>
        <w:rPr>
          <w:u w:val="thick"/>
        </w:rPr>
        <w:t>ill Review</w:t>
      </w:r>
      <w:r>
        <w:rPr>
          <w:spacing w:val="5"/>
          <w:u w:val="thick"/>
        </w:rPr>
        <w:t> </w:t>
      </w:r>
      <w:r>
        <w:rPr>
          <w:u w:val="thick"/>
        </w:rPr>
        <w:t>Requirements</w:t>
      </w:r>
    </w:p>
    <w:p>
      <w:pPr>
        <w:pStyle w:val="BodyText"/>
        <w:spacing w:before="11"/>
        <w:rPr>
          <w:b/>
          <w:sz w:val="13"/>
        </w:rPr>
      </w:pPr>
    </w:p>
    <w:p>
      <w:pPr>
        <w:pStyle w:val="BodyText"/>
        <w:spacing w:before="93"/>
        <w:ind w:left="840" w:right="481"/>
        <w:jc w:val="both"/>
      </w:pPr>
      <w:r>
        <w:rPr/>
        <w:t>To review and process all medical bills against the City for Workers’ Compensation benefits in accordance with the requirements of applicable State of California laws and regulations to include, but is not limited to:</w:t>
      </w:r>
    </w:p>
    <w:p>
      <w:pPr>
        <w:pStyle w:val="BodyText"/>
        <w:spacing w:before="1"/>
      </w:pPr>
    </w:p>
    <w:p>
      <w:pPr>
        <w:pStyle w:val="ListParagraph"/>
        <w:numPr>
          <w:ilvl w:val="1"/>
          <w:numId w:val="1"/>
        </w:numPr>
        <w:tabs>
          <w:tab w:pos="1201" w:val="left" w:leader="none"/>
        </w:tabs>
        <w:spacing w:line="252" w:lineRule="exact" w:before="0" w:after="0"/>
        <w:ind w:left="1200" w:right="0" w:hanging="361"/>
        <w:jc w:val="left"/>
        <w:rPr>
          <w:sz w:val="22"/>
        </w:rPr>
      </w:pPr>
      <w:r>
        <w:rPr>
          <w:sz w:val="22"/>
        </w:rPr>
        <w:t>Review and pay all medical bills in accordance with California Labor</w:t>
      </w:r>
      <w:r>
        <w:rPr>
          <w:spacing w:val="-11"/>
          <w:sz w:val="22"/>
        </w:rPr>
        <w:t> </w:t>
      </w:r>
      <w:r>
        <w:rPr>
          <w:sz w:val="22"/>
        </w:rPr>
        <w:t>Code.</w:t>
      </w:r>
    </w:p>
    <w:p>
      <w:pPr>
        <w:pStyle w:val="ListParagraph"/>
        <w:numPr>
          <w:ilvl w:val="1"/>
          <w:numId w:val="1"/>
        </w:numPr>
        <w:tabs>
          <w:tab w:pos="1201" w:val="left" w:leader="none"/>
        </w:tabs>
        <w:spacing w:line="252" w:lineRule="exact" w:before="0" w:after="0"/>
        <w:ind w:left="1200" w:right="0" w:hanging="361"/>
        <w:jc w:val="left"/>
        <w:rPr>
          <w:sz w:val="22"/>
        </w:rPr>
      </w:pPr>
      <w:r>
        <w:rPr>
          <w:sz w:val="22"/>
        </w:rPr>
        <w:t>TPA agrees that bills and bill review statistical data shall remain the property of the</w:t>
      </w:r>
      <w:r>
        <w:rPr>
          <w:spacing w:val="-20"/>
          <w:sz w:val="22"/>
        </w:rPr>
        <w:t> </w:t>
      </w:r>
      <w:r>
        <w:rPr>
          <w:sz w:val="22"/>
        </w:rPr>
        <w:t>City.</w:t>
      </w:r>
    </w:p>
    <w:p>
      <w:pPr>
        <w:pStyle w:val="ListParagraph"/>
        <w:numPr>
          <w:ilvl w:val="1"/>
          <w:numId w:val="1"/>
        </w:numPr>
        <w:tabs>
          <w:tab w:pos="1200" w:val="left" w:leader="none"/>
        </w:tabs>
        <w:spacing w:line="240" w:lineRule="auto" w:before="2" w:after="0"/>
        <w:ind w:left="1200" w:right="483" w:hanging="360"/>
        <w:jc w:val="left"/>
        <w:rPr>
          <w:sz w:val="22"/>
        </w:rPr>
      </w:pPr>
      <w:r>
        <w:rPr>
          <w:sz w:val="22"/>
        </w:rPr>
        <w:t>TPA will process all bills for bill review and issue a timely EOB’s to the TPA for payment processing.</w:t>
      </w:r>
    </w:p>
    <w:p>
      <w:pPr>
        <w:pStyle w:val="ListParagraph"/>
        <w:numPr>
          <w:ilvl w:val="1"/>
          <w:numId w:val="1"/>
        </w:numPr>
        <w:tabs>
          <w:tab w:pos="1201" w:val="left" w:leader="none"/>
        </w:tabs>
        <w:spacing w:line="251" w:lineRule="exact" w:before="0" w:after="0"/>
        <w:ind w:left="1200" w:right="0" w:hanging="361"/>
        <w:jc w:val="left"/>
        <w:rPr>
          <w:sz w:val="22"/>
        </w:rPr>
      </w:pPr>
      <w:r>
        <w:rPr>
          <w:sz w:val="22"/>
        </w:rPr>
        <w:t>TPA will handle all billing</w:t>
      </w:r>
      <w:r>
        <w:rPr>
          <w:spacing w:val="2"/>
          <w:sz w:val="22"/>
        </w:rPr>
        <w:t> </w:t>
      </w:r>
      <w:r>
        <w:rPr>
          <w:sz w:val="22"/>
        </w:rPr>
        <w:t>disputes.</w:t>
      </w:r>
    </w:p>
    <w:p>
      <w:pPr>
        <w:pStyle w:val="ListParagraph"/>
        <w:numPr>
          <w:ilvl w:val="1"/>
          <w:numId w:val="1"/>
        </w:numPr>
        <w:tabs>
          <w:tab w:pos="1201" w:val="left" w:leader="none"/>
        </w:tabs>
        <w:spacing w:line="252" w:lineRule="exact" w:before="1" w:after="0"/>
        <w:ind w:left="1200" w:right="0" w:hanging="361"/>
        <w:jc w:val="left"/>
        <w:rPr>
          <w:sz w:val="22"/>
        </w:rPr>
      </w:pPr>
      <w:r>
        <w:rPr>
          <w:sz w:val="22"/>
        </w:rPr>
        <w:t>Provide monthly, quarterly and annual cost savings</w:t>
      </w:r>
      <w:r>
        <w:rPr>
          <w:spacing w:val="-2"/>
          <w:sz w:val="22"/>
        </w:rPr>
        <w:t> </w:t>
      </w:r>
      <w:r>
        <w:rPr>
          <w:sz w:val="22"/>
        </w:rPr>
        <w:t>reports.</w:t>
      </w:r>
    </w:p>
    <w:p>
      <w:pPr>
        <w:pStyle w:val="ListParagraph"/>
        <w:numPr>
          <w:ilvl w:val="1"/>
          <w:numId w:val="1"/>
        </w:numPr>
        <w:tabs>
          <w:tab w:pos="1200" w:val="left" w:leader="none"/>
          <w:tab w:pos="1201" w:val="left" w:leader="none"/>
        </w:tabs>
        <w:spacing w:line="240" w:lineRule="auto" w:before="0" w:after="0"/>
        <w:ind w:left="1200" w:right="482" w:hanging="360"/>
        <w:jc w:val="left"/>
        <w:rPr>
          <w:sz w:val="22"/>
        </w:rPr>
      </w:pPr>
      <w:r>
        <w:rPr>
          <w:sz w:val="22"/>
        </w:rPr>
        <w:t>In</w:t>
      </w:r>
      <w:r>
        <w:rPr>
          <w:spacing w:val="-15"/>
          <w:sz w:val="22"/>
        </w:rPr>
        <w:t> </w:t>
      </w:r>
      <w:r>
        <w:rPr>
          <w:sz w:val="22"/>
        </w:rPr>
        <w:t>the</w:t>
      </w:r>
      <w:r>
        <w:rPr>
          <w:spacing w:val="-14"/>
          <w:sz w:val="22"/>
        </w:rPr>
        <w:t> </w:t>
      </w:r>
      <w:r>
        <w:rPr>
          <w:sz w:val="22"/>
        </w:rPr>
        <w:t>event</w:t>
      </w:r>
      <w:r>
        <w:rPr>
          <w:spacing w:val="-14"/>
          <w:sz w:val="22"/>
        </w:rPr>
        <w:t> </w:t>
      </w:r>
      <w:r>
        <w:rPr>
          <w:sz w:val="22"/>
        </w:rPr>
        <w:t>of</w:t>
      </w:r>
      <w:r>
        <w:rPr>
          <w:spacing w:val="-15"/>
          <w:sz w:val="22"/>
        </w:rPr>
        <w:t> </w:t>
      </w:r>
      <w:r>
        <w:rPr>
          <w:sz w:val="22"/>
        </w:rPr>
        <w:t>termination</w:t>
      </w:r>
      <w:r>
        <w:rPr>
          <w:spacing w:val="-14"/>
          <w:sz w:val="22"/>
        </w:rPr>
        <w:t> </w:t>
      </w:r>
      <w:r>
        <w:rPr>
          <w:sz w:val="22"/>
        </w:rPr>
        <w:t>of</w:t>
      </w:r>
      <w:r>
        <w:rPr>
          <w:spacing w:val="-11"/>
          <w:sz w:val="22"/>
        </w:rPr>
        <w:t> </w:t>
      </w:r>
      <w:r>
        <w:rPr>
          <w:sz w:val="22"/>
        </w:rPr>
        <w:t>the</w:t>
      </w:r>
      <w:r>
        <w:rPr>
          <w:spacing w:val="-15"/>
          <w:sz w:val="22"/>
        </w:rPr>
        <w:t> </w:t>
      </w:r>
      <w:r>
        <w:rPr>
          <w:sz w:val="22"/>
        </w:rPr>
        <w:t>Contract,</w:t>
      </w:r>
      <w:r>
        <w:rPr>
          <w:spacing w:val="-16"/>
          <w:sz w:val="22"/>
        </w:rPr>
        <w:t> </w:t>
      </w:r>
      <w:r>
        <w:rPr>
          <w:sz w:val="22"/>
        </w:rPr>
        <w:t>the</w:t>
      </w:r>
      <w:r>
        <w:rPr>
          <w:spacing w:val="-16"/>
          <w:sz w:val="22"/>
        </w:rPr>
        <w:t> </w:t>
      </w:r>
      <w:r>
        <w:rPr>
          <w:sz w:val="22"/>
        </w:rPr>
        <w:t>TPA</w:t>
      </w:r>
      <w:r>
        <w:rPr>
          <w:spacing w:val="-15"/>
          <w:sz w:val="22"/>
        </w:rPr>
        <w:t> </w:t>
      </w:r>
      <w:r>
        <w:rPr>
          <w:sz w:val="22"/>
        </w:rPr>
        <w:t>will</w:t>
      </w:r>
      <w:r>
        <w:rPr>
          <w:spacing w:val="-17"/>
          <w:sz w:val="22"/>
        </w:rPr>
        <w:t> </w:t>
      </w:r>
      <w:r>
        <w:rPr>
          <w:sz w:val="22"/>
        </w:rPr>
        <w:t>furnish</w:t>
      </w:r>
      <w:r>
        <w:rPr>
          <w:spacing w:val="-14"/>
          <w:sz w:val="22"/>
        </w:rPr>
        <w:t> </w:t>
      </w:r>
      <w:r>
        <w:rPr>
          <w:sz w:val="22"/>
        </w:rPr>
        <w:t>all</w:t>
      </w:r>
      <w:r>
        <w:rPr>
          <w:spacing w:val="-17"/>
          <w:sz w:val="22"/>
        </w:rPr>
        <w:t> </w:t>
      </w:r>
      <w:r>
        <w:rPr>
          <w:sz w:val="22"/>
        </w:rPr>
        <w:t>bill</w:t>
      </w:r>
      <w:r>
        <w:rPr>
          <w:spacing w:val="-17"/>
          <w:sz w:val="22"/>
        </w:rPr>
        <w:t> </w:t>
      </w:r>
      <w:r>
        <w:rPr>
          <w:sz w:val="22"/>
        </w:rPr>
        <w:t>review</w:t>
      </w:r>
      <w:r>
        <w:rPr>
          <w:spacing w:val="-17"/>
          <w:sz w:val="22"/>
        </w:rPr>
        <w:t> </w:t>
      </w:r>
      <w:r>
        <w:rPr>
          <w:sz w:val="22"/>
        </w:rPr>
        <w:t>files,</w:t>
      </w:r>
      <w:r>
        <w:rPr>
          <w:spacing w:val="-14"/>
          <w:sz w:val="22"/>
        </w:rPr>
        <w:t> </w:t>
      </w:r>
      <w:r>
        <w:rPr>
          <w:sz w:val="22"/>
        </w:rPr>
        <w:t>computer files, and financial information at no cost to the</w:t>
      </w:r>
      <w:r>
        <w:rPr>
          <w:spacing w:val="-8"/>
          <w:sz w:val="22"/>
        </w:rPr>
        <w:t> </w:t>
      </w:r>
      <w:r>
        <w:rPr>
          <w:sz w:val="22"/>
        </w:rPr>
        <w:t>City.</w:t>
      </w:r>
    </w:p>
    <w:p>
      <w:pPr>
        <w:pStyle w:val="ListParagraph"/>
        <w:numPr>
          <w:ilvl w:val="1"/>
          <w:numId w:val="1"/>
        </w:numPr>
        <w:tabs>
          <w:tab w:pos="1201" w:val="left" w:leader="none"/>
        </w:tabs>
        <w:spacing w:line="240" w:lineRule="auto" w:before="0" w:after="0"/>
        <w:ind w:left="1200" w:right="482" w:hanging="360"/>
        <w:jc w:val="left"/>
        <w:rPr>
          <w:sz w:val="22"/>
        </w:rPr>
      </w:pPr>
      <w:r>
        <w:rPr>
          <w:sz w:val="22"/>
        </w:rPr>
        <w:t>TPA will be responsible for filling all required reports including, but not limited to, 1099 Misc.</w:t>
      </w:r>
      <w:r>
        <w:rPr>
          <w:spacing w:val="1"/>
          <w:sz w:val="22"/>
        </w:rPr>
        <w:t> </w:t>
      </w:r>
      <w:r>
        <w:rPr>
          <w:sz w:val="22"/>
        </w:rPr>
        <w:t>Forms.</w:t>
      </w:r>
    </w:p>
    <w:p>
      <w:pPr>
        <w:pStyle w:val="BodyText"/>
        <w:rPr>
          <w:sz w:val="20"/>
        </w:rPr>
      </w:pPr>
    </w:p>
    <w:p>
      <w:pPr>
        <w:pStyle w:val="Heading1"/>
        <w:spacing w:before="91"/>
        <w:rPr>
          <w:u w:val="none"/>
        </w:rPr>
      </w:pPr>
      <w:r>
        <w:rPr>
          <w:spacing w:val="-187"/>
          <w:u w:val="thick"/>
        </w:rPr>
        <w:t>S</w:t>
      </w:r>
      <w:r>
        <w:rPr>
          <w:spacing w:val="112"/>
          <w:u w:val="none"/>
        </w:rPr>
        <w:t> </w:t>
      </w:r>
      <w:r>
        <w:rPr>
          <w:u w:val="thick"/>
        </w:rPr>
        <w:t>ection E</w:t>
      </w:r>
    </w:p>
    <w:p>
      <w:pPr>
        <w:pStyle w:val="Heading2"/>
      </w:pPr>
      <w:r>
        <w:rPr/>
        <w:t>PROPOSAL REQUIREMENTS</w:t>
      </w:r>
    </w:p>
    <w:p>
      <w:pPr>
        <w:pStyle w:val="BodyText"/>
        <w:spacing w:before="11"/>
        <w:rPr>
          <w:b/>
          <w:sz w:val="23"/>
        </w:rPr>
      </w:pPr>
    </w:p>
    <w:p>
      <w:pPr>
        <w:pStyle w:val="BodyText"/>
        <w:ind w:left="480" w:right="480"/>
        <w:jc w:val="both"/>
      </w:pPr>
      <w:r>
        <w:rPr/>
        <w:t>The TPA shall be responsible for preparing an effective, clear, and concise proposal. The proposal shall demonstrate the qualifications, competence, and capacity of the TPA to provide the</w:t>
      </w:r>
      <w:r>
        <w:rPr>
          <w:spacing w:val="-11"/>
        </w:rPr>
        <w:t> </w:t>
      </w:r>
      <w:r>
        <w:rPr/>
        <w:t>Services</w:t>
      </w:r>
      <w:r>
        <w:rPr>
          <w:spacing w:val="-10"/>
        </w:rPr>
        <w:t> </w:t>
      </w:r>
      <w:r>
        <w:rPr/>
        <w:t>described</w:t>
      </w:r>
      <w:r>
        <w:rPr>
          <w:spacing w:val="-11"/>
        </w:rPr>
        <w:t> </w:t>
      </w:r>
      <w:r>
        <w:rPr/>
        <w:t>in,</w:t>
      </w:r>
      <w:r>
        <w:rPr>
          <w:spacing w:val="-10"/>
        </w:rPr>
        <w:t> </w:t>
      </w:r>
      <w:r>
        <w:rPr/>
        <w:t>and</w:t>
      </w:r>
      <w:r>
        <w:rPr>
          <w:spacing w:val="-12"/>
        </w:rPr>
        <w:t> </w:t>
      </w:r>
      <w:r>
        <w:rPr/>
        <w:t>in</w:t>
      </w:r>
      <w:r>
        <w:rPr>
          <w:spacing w:val="-11"/>
        </w:rPr>
        <w:t> </w:t>
      </w:r>
      <w:r>
        <w:rPr/>
        <w:t>conformity</w:t>
      </w:r>
      <w:r>
        <w:rPr>
          <w:spacing w:val="-12"/>
        </w:rPr>
        <w:t> </w:t>
      </w:r>
      <w:r>
        <w:rPr/>
        <w:t>with</w:t>
      </w:r>
      <w:r>
        <w:rPr>
          <w:spacing w:val="-12"/>
        </w:rPr>
        <w:t> </w:t>
      </w:r>
      <w:r>
        <w:rPr/>
        <w:t>the</w:t>
      </w:r>
      <w:r>
        <w:rPr>
          <w:spacing w:val="-10"/>
        </w:rPr>
        <w:t> </w:t>
      </w:r>
      <w:r>
        <w:rPr/>
        <w:t>requirements</w:t>
      </w:r>
      <w:r>
        <w:rPr>
          <w:spacing w:val="-11"/>
        </w:rPr>
        <w:t> </w:t>
      </w:r>
      <w:r>
        <w:rPr/>
        <w:t>of</w:t>
      </w:r>
      <w:r>
        <w:rPr>
          <w:spacing w:val="-10"/>
        </w:rPr>
        <w:t> </w:t>
      </w:r>
      <w:r>
        <w:rPr/>
        <w:t>this</w:t>
      </w:r>
      <w:r>
        <w:rPr>
          <w:spacing w:val="-10"/>
        </w:rPr>
        <w:t> </w:t>
      </w:r>
      <w:r>
        <w:rPr/>
        <w:t>RFP.</w:t>
      </w:r>
      <w:r>
        <w:rPr>
          <w:spacing w:val="-11"/>
        </w:rPr>
        <w:t> </w:t>
      </w:r>
      <w:r>
        <w:rPr/>
        <w:t>The</w:t>
      </w:r>
      <w:r>
        <w:rPr>
          <w:spacing w:val="-10"/>
        </w:rPr>
        <w:t> </w:t>
      </w:r>
      <w:r>
        <w:rPr/>
        <w:t>proposal</w:t>
      </w:r>
      <w:r>
        <w:rPr>
          <w:spacing w:val="-11"/>
        </w:rPr>
        <w:t> </w:t>
      </w:r>
      <w:r>
        <w:rPr/>
        <w:t>shall demonstrate</w:t>
      </w:r>
      <w:r>
        <w:rPr>
          <w:spacing w:val="-9"/>
        </w:rPr>
        <w:t> </w:t>
      </w:r>
      <w:r>
        <w:rPr/>
        <w:t>the</w:t>
      </w:r>
      <w:r>
        <w:rPr>
          <w:spacing w:val="-9"/>
        </w:rPr>
        <w:t> </w:t>
      </w:r>
      <w:r>
        <w:rPr/>
        <w:t>qualifications</w:t>
      </w:r>
      <w:r>
        <w:rPr>
          <w:spacing w:val="-5"/>
        </w:rPr>
        <w:t> </w:t>
      </w:r>
      <w:r>
        <w:rPr/>
        <w:t>of</w:t>
      </w:r>
      <w:r>
        <w:rPr>
          <w:spacing w:val="-4"/>
        </w:rPr>
        <w:t> </w:t>
      </w:r>
      <w:r>
        <w:rPr/>
        <w:t>the</w:t>
      </w:r>
      <w:r>
        <w:rPr>
          <w:spacing w:val="-8"/>
        </w:rPr>
        <w:t> </w:t>
      </w:r>
      <w:r>
        <w:rPr/>
        <w:t>TPA</w:t>
      </w:r>
      <w:r>
        <w:rPr>
          <w:spacing w:val="-7"/>
        </w:rPr>
        <w:t> </w:t>
      </w:r>
      <w:r>
        <w:rPr/>
        <w:t>and</w:t>
      </w:r>
      <w:r>
        <w:rPr>
          <w:spacing w:val="-6"/>
        </w:rPr>
        <w:t> </w:t>
      </w:r>
      <w:r>
        <w:rPr/>
        <w:t>of</w:t>
      </w:r>
      <w:r>
        <w:rPr>
          <w:spacing w:val="-5"/>
        </w:rPr>
        <w:t> </w:t>
      </w:r>
      <w:r>
        <w:rPr/>
        <w:t>the</w:t>
      </w:r>
      <w:r>
        <w:rPr>
          <w:spacing w:val="-5"/>
        </w:rPr>
        <w:t> </w:t>
      </w:r>
      <w:r>
        <w:rPr/>
        <w:t>particular</w:t>
      </w:r>
      <w:r>
        <w:rPr>
          <w:spacing w:val="-4"/>
        </w:rPr>
        <w:t> </w:t>
      </w:r>
      <w:r>
        <w:rPr/>
        <w:t>staff</w:t>
      </w:r>
      <w:r>
        <w:rPr>
          <w:spacing w:val="-5"/>
        </w:rPr>
        <w:t> </w:t>
      </w:r>
      <w:r>
        <w:rPr/>
        <w:t>to</w:t>
      </w:r>
      <w:r>
        <w:rPr>
          <w:spacing w:val="-7"/>
        </w:rPr>
        <w:t> </w:t>
      </w:r>
      <w:r>
        <w:rPr/>
        <w:t>be</w:t>
      </w:r>
      <w:r>
        <w:rPr>
          <w:spacing w:val="-4"/>
        </w:rPr>
        <w:t> </w:t>
      </w:r>
      <w:r>
        <w:rPr/>
        <w:t>assigned</w:t>
      </w:r>
      <w:r>
        <w:rPr>
          <w:spacing w:val="-8"/>
        </w:rPr>
        <w:t> </w:t>
      </w:r>
      <w:r>
        <w:rPr/>
        <w:t>to</w:t>
      </w:r>
      <w:r>
        <w:rPr>
          <w:spacing w:val="-7"/>
        </w:rPr>
        <w:t> </w:t>
      </w:r>
      <w:r>
        <w:rPr/>
        <w:t>perform</w:t>
      </w:r>
      <w:r>
        <w:rPr>
          <w:spacing w:val="-7"/>
        </w:rPr>
        <w:t> </w:t>
      </w:r>
      <w:r>
        <w:rPr/>
        <w:t>the Services.</w:t>
      </w:r>
    </w:p>
    <w:p>
      <w:pPr>
        <w:pStyle w:val="BodyText"/>
        <w:spacing w:before="142"/>
        <w:ind w:left="480" w:right="480"/>
        <w:jc w:val="both"/>
      </w:pPr>
      <w:r>
        <w:rPr/>
        <w:t>By submitting a proposal in response to the RFP, the TPA is certifying it takes no exceptions to the RFP and will accept the City’s terms and conditions. If any exceptions are taken, such exceptions</w:t>
      </w:r>
      <w:r>
        <w:rPr>
          <w:spacing w:val="-9"/>
        </w:rPr>
        <w:t> </w:t>
      </w:r>
      <w:r>
        <w:rPr/>
        <w:t>must</w:t>
      </w:r>
      <w:r>
        <w:rPr>
          <w:spacing w:val="-8"/>
        </w:rPr>
        <w:t> </w:t>
      </w:r>
      <w:r>
        <w:rPr/>
        <w:t>be</w:t>
      </w:r>
      <w:r>
        <w:rPr>
          <w:spacing w:val="-9"/>
        </w:rPr>
        <w:t> </w:t>
      </w:r>
      <w:r>
        <w:rPr/>
        <w:t>clearly</w:t>
      </w:r>
      <w:r>
        <w:rPr>
          <w:spacing w:val="-10"/>
        </w:rPr>
        <w:t> </w:t>
      </w:r>
      <w:r>
        <w:rPr/>
        <w:t>noted</w:t>
      </w:r>
      <w:r>
        <w:rPr>
          <w:spacing w:val="-9"/>
        </w:rPr>
        <w:t> </w:t>
      </w:r>
      <w:r>
        <w:rPr/>
        <w:t>in</w:t>
      </w:r>
      <w:r>
        <w:rPr>
          <w:spacing w:val="-11"/>
        </w:rPr>
        <w:t> </w:t>
      </w:r>
      <w:r>
        <w:rPr/>
        <w:t>the</w:t>
      </w:r>
      <w:r>
        <w:rPr>
          <w:spacing w:val="-10"/>
        </w:rPr>
        <w:t> </w:t>
      </w:r>
      <w:r>
        <w:rPr/>
        <w:t>Proposal</w:t>
      </w:r>
      <w:r>
        <w:rPr>
          <w:spacing w:val="-10"/>
        </w:rPr>
        <w:t> </w:t>
      </w:r>
      <w:r>
        <w:rPr/>
        <w:t>and</w:t>
      </w:r>
      <w:r>
        <w:rPr>
          <w:spacing w:val="-11"/>
        </w:rPr>
        <w:t> </w:t>
      </w:r>
      <w:r>
        <w:rPr/>
        <w:t>may</w:t>
      </w:r>
      <w:r>
        <w:rPr>
          <w:spacing w:val="-10"/>
        </w:rPr>
        <w:t> </w:t>
      </w:r>
      <w:r>
        <w:rPr/>
        <w:t>be</w:t>
      </w:r>
      <w:r>
        <w:rPr>
          <w:spacing w:val="-10"/>
        </w:rPr>
        <w:t> </w:t>
      </w:r>
      <w:r>
        <w:rPr/>
        <w:t>reason</w:t>
      </w:r>
      <w:r>
        <w:rPr>
          <w:spacing w:val="-13"/>
        </w:rPr>
        <w:t> </w:t>
      </w:r>
      <w:r>
        <w:rPr/>
        <w:t>for</w:t>
      </w:r>
      <w:r>
        <w:rPr>
          <w:spacing w:val="-12"/>
        </w:rPr>
        <w:t> </w:t>
      </w:r>
      <w:r>
        <w:rPr/>
        <w:t>rejection</w:t>
      </w:r>
      <w:r>
        <w:rPr>
          <w:spacing w:val="-10"/>
        </w:rPr>
        <w:t> </w:t>
      </w:r>
      <w:r>
        <w:rPr/>
        <w:t>of</w:t>
      </w:r>
      <w:r>
        <w:rPr>
          <w:spacing w:val="-10"/>
        </w:rPr>
        <w:t> </w:t>
      </w:r>
      <w:r>
        <w:rPr/>
        <w:t>the</w:t>
      </w:r>
      <w:r>
        <w:rPr>
          <w:spacing w:val="-10"/>
        </w:rPr>
        <w:t> </w:t>
      </w:r>
      <w:r>
        <w:rPr/>
        <w:t>Proposal.</w:t>
      </w:r>
    </w:p>
    <w:p>
      <w:pPr>
        <w:pStyle w:val="BodyText"/>
        <w:spacing w:before="2"/>
        <w:rPr>
          <w:sz w:val="34"/>
        </w:rPr>
      </w:pPr>
    </w:p>
    <w:p>
      <w:pPr>
        <w:pStyle w:val="ListParagraph"/>
        <w:numPr>
          <w:ilvl w:val="0"/>
          <w:numId w:val="2"/>
        </w:numPr>
        <w:tabs>
          <w:tab w:pos="841" w:val="left" w:leader="none"/>
        </w:tabs>
        <w:spacing w:line="240" w:lineRule="auto" w:before="0" w:after="0"/>
        <w:ind w:left="840" w:right="0" w:hanging="361"/>
        <w:jc w:val="left"/>
        <w:rPr>
          <w:sz w:val="22"/>
        </w:rPr>
      </w:pPr>
      <w:r>
        <w:rPr>
          <w:sz w:val="22"/>
        </w:rPr>
        <w:t>Proposals should be submitted in the following</w:t>
      </w:r>
      <w:r>
        <w:rPr>
          <w:spacing w:val="-10"/>
          <w:sz w:val="22"/>
        </w:rPr>
        <w:t> </w:t>
      </w:r>
      <w:r>
        <w:rPr>
          <w:sz w:val="22"/>
        </w:rPr>
        <w:t>order:</w:t>
      </w:r>
    </w:p>
    <w:p>
      <w:pPr>
        <w:pStyle w:val="BodyText"/>
      </w:pPr>
    </w:p>
    <w:p>
      <w:pPr>
        <w:pStyle w:val="ListParagraph"/>
        <w:numPr>
          <w:ilvl w:val="1"/>
          <w:numId w:val="2"/>
        </w:numPr>
        <w:tabs>
          <w:tab w:pos="1200" w:val="left" w:leader="none"/>
          <w:tab w:pos="1201" w:val="left" w:leader="none"/>
        </w:tabs>
        <w:spacing w:line="269" w:lineRule="exact" w:before="0" w:after="0"/>
        <w:ind w:left="1200" w:right="0" w:hanging="361"/>
        <w:jc w:val="left"/>
        <w:rPr>
          <w:sz w:val="22"/>
        </w:rPr>
      </w:pPr>
      <w:r>
        <w:rPr>
          <w:sz w:val="22"/>
        </w:rPr>
        <w:t>Cover Letter;</w:t>
      </w:r>
    </w:p>
    <w:p>
      <w:pPr>
        <w:pStyle w:val="ListParagraph"/>
        <w:numPr>
          <w:ilvl w:val="1"/>
          <w:numId w:val="2"/>
        </w:numPr>
        <w:tabs>
          <w:tab w:pos="1200" w:val="left" w:leader="none"/>
          <w:tab w:pos="1201" w:val="left" w:leader="none"/>
        </w:tabs>
        <w:spacing w:line="268" w:lineRule="exact" w:before="0" w:after="0"/>
        <w:ind w:left="1200" w:right="0" w:hanging="361"/>
        <w:jc w:val="left"/>
        <w:rPr>
          <w:sz w:val="22"/>
        </w:rPr>
      </w:pPr>
      <w:r>
        <w:rPr>
          <w:sz w:val="22"/>
        </w:rPr>
        <w:t>Responses to “Questionnaire” which is attached hereto as </w:t>
      </w:r>
      <w:r>
        <w:rPr>
          <w:b/>
          <w:sz w:val="22"/>
        </w:rPr>
        <w:t>Attachment</w:t>
      </w:r>
      <w:r>
        <w:rPr>
          <w:b/>
          <w:spacing w:val="1"/>
          <w:sz w:val="22"/>
        </w:rPr>
        <w:t> </w:t>
      </w:r>
      <w:r>
        <w:rPr>
          <w:b/>
          <w:sz w:val="22"/>
        </w:rPr>
        <w:t>“A</w:t>
      </w:r>
      <w:r>
        <w:rPr>
          <w:sz w:val="22"/>
        </w:rPr>
        <w:t>”;</w:t>
      </w:r>
    </w:p>
    <w:p>
      <w:pPr>
        <w:pStyle w:val="ListParagraph"/>
        <w:numPr>
          <w:ilvl w:val="1"/>
          <w:numId w:val="2"/>
        </w:numPr>
        <w:tabs>
          <w:tab w:pos="1200" w:val="left" w:leader="none"/>
          <w:tab w:pos="1201" w:val="left" w:leader="none"/>
        </w:tabs>
        <w:spacing w:line="268" w:lineRule="exact" w:before="0" w:after="0"/>
        <w:ind w:left="1200" w:right="0" w:hanging="361"/>
        <w:jc w:val="left"/>
        <w:rPr>
          <w:sz w:val="22"/>
        </w:rPr>
      </w:pPr>
      <w:r>
        <w:rPr>
          <w:sz w:val="22"/>
        </w:rPr>
        <w:t>Other information your firm would like us to</w:t>
      </w:r>
      <w:r>
        <w:rPr>
          <w:spacing w:val="-2"/>
          <w:sz w:val="22"/>
        </w:rPr>
        <w:t> </w:t>
      </w:r>
      <w:r>
        <w:rPr>
          <w:sz w:val="22"/>
        </w:rPr>
        <w:t>consider;</w:t>
      </w:r>
    </w:p>
    <w:p>
      <w:pPr>
        <w:pStyle w:val="ListParagraph"/>
        <w:numPr>
          <w:ilvl w:val="1"/>
          <w:numId w:val="2"/>
        </w:numPr>
        <w:tabs>
          <w:tab w:pos="1200" w:val="left" w:leader="none"/>
          <w:tab w:pos="1201" w:val="left" w:leader="none"/>
        </w:tabs>
        <w:spacing w:line="268" w:lineRule="exact" w:before="0" w:after="0"/>
        <w:ind w:left="1200" w:right="0" w:hanging="361"/>
        <w:jc w:val="left"/>
        <w:rPr>
          <w:sz w:val="22"/>
        </w:rPr>
      </w:pPr>
      <w:r>
        <w:rPr>
          <w:sz w:val="22"/>
        </w:rPr>
        <w:t>Cost Proposal (see Attachment “B” which is attached</w:t>
      </w:r>
      <w:r>
        <w:rPr>
          <w:spacing w:val="2"/>
          <w:sz w:val="22"/>
        </w:rPr>
        <w:t> </w:t>
      </w:r>
      <w:r>
        <w:rPr>
          <w:sz w:val="22"/>
        </w:rPr>
        <w:t>hereto);</w:t>
      </w:r>
    </w:p>
    <w:p>
      <w:pPr>
        <w:pStyle w:val="ListParagraph"/>
        <w:numPr>
          <w:ilvl w:val="1"/>
          <w:numId w:val="2"/>
        </w:numPr>
        <w:tabs>
          <w:tab w:pos="1200" w:val="left" w:leader="none"/>
          <w:tab w:pos="1201" w:val="left" w:leader="none"/>
        </w:tabs>
        <w:spacing w:line="268" w:lineRule="exact" w:before="0" w:after="0"/>
        <w:ind w:left="1200" w:right="0" w:hanging="361"/>
        <w:jc w:val="left"/>
        <w:rPr>
          <w:sz w:val="22"/>
        </w:rPr>
      </w:pPr>
      <w:r>
        <w:rPr>
          <w:sz w:val="22"/>
        </w:rPr>
        <w:t>Bill review savings report showing what is charged vs paid with</w:t>
      </w:r>
      <w:r>
        <w:rPr>
          <w:spacing w:val="-4"/>
          <w:sz w:val="22"/>
        </w:rPr>
        <w:t> </w:t>
      </w:r>
      <w:r>
        <w:rPr>
          <w:sz w:val="22"/>
        </w:rPr>
        <w:t>TINs;</w:t>
      </w:r>
    </w:p>
    <w:p>
      <w:pPr>
        <w:pStyle w:val="BodyText"/>
        <w:spacing w:before="10"/>
        <w:rPr>
          <w:sz w:val="21"/>
        </w:rPr>
      </w:pPr>
    </w:p>
    <w:p>
      <w:pPr>
        <w:pStyle w:val="ListParagraph"/>
        <w:numPr>
          <w:ilvl w:val="0"/>
          <w:numId w:val="2"/>
        </w:numPr>
        <w:tabs>
          <w:tab w:pos="841" w:val="left" w:leader="none"/>
        </w:tabs>
        <w:spacing w:line="240" w:lineRule="auto" w:before="0" w:after="0"/>
        <w:ind w:left="840" w:right="476" w:hanging="360"/>
        <w:jc w:val="left"/>
        <w:rPr>
          <w:sz w:val="22"/>
        </w:rPr>
      </w:pPr>
      <w:r>
        <w:rPr>
          <w:sz w:val="22"/>
        </w:rPr>
        <w:t>Your response to this RFP will become part of the Agreement. Any proposed waiver, or change to the City’s standard Consulting Agreement (</w:t>
      </w:r>
      <w:r>
        <w:rPr>
          <w:b/>
          <w:sz w:val="22"/>
        </w:rPr>
        <w:t>Exhibit “1”</w:t>
      </w:r>
      <w:r>
        <w:rPr>
          <w:sz w:val="22"/>
        </w:rPr>
        <w:t>) must be identified in</w:t>
      </w:r>
      <w:r>
        <w:rPr>
          <w:spacing w:val="40"/>
          <w:sz w:val="22"/>
        </w:rPr>
        <w:t> </w:t>
      </w:r>
      <w:r>
        <w:rPr>
          <w:sz w:val="22"/>
        </w:rPr>
        <w:t>your</w:t>
      </w:r>
    </w:p>
    <w:p>
      <w:pPr>
        <w:spacing w:after="0" w:line="240" w:lineRule="auto"/>
        <w:jc w:val="left"/>
        <w:rPr>
          <w:sz w:val="22"/>
        </w:rPr>
        <w:sectPr>
          <w:pgSz w:w="12240" w:h="15840"/>
          <w:pgMar w:header="0" w:footer="1248" w:top="1000" w:bottom="1440" w:left="960" w:right="960"/>
        </w:sectPr>
      </w:pPr>
    </w:p>
    <w:p>
      <w:pPr>
        <w:pStyle w:val="BodyText"/>
        <w:spacing w:before="71"/>
        <w:ind w:left="840" w:right="478"/>
        <w:jc w:val="both"/>
      </w:pPr>
      <w:r>
        <w:rPr/>
        <w:pict>
          <v:group style="position:absolute;margin-left:26.160002pt;margin-top:26.160002pt;width:561.85pt;height:741.85pt;mso-position-horizontal-relative:page;mso-position-vertical-relative:page;z-index:-253972480" coordorigin="523,523" coordsize="11237,14837">
            <v:line style="position:absolute" from="523,545" to="11674,545" stroked="true" strokeweight="2.159998pt" strokecolor="#000000">
              <v:stroke dashstyle="solid"/>
            </v:line>
            <v:rect style="position:absolute;left:11673;top:523;width:44;height:44" filled="true" fillcolor="#000000" stroked="false">
              <v:fill type="solid"/>
            </v:rect>
            <v:line style="position:absolute" from="545,566" to="545,15317" stroked="true" strokeweight="2.159998pt" strokecolor="#000000">
              <v:stroke dashstyle="solid"/>
            </v:line>
            <v:line style="position:absolute" from="11717,566" to="11717,15274" stroked="true" strokeweight="4.320008pt" strokecolor="#000000">
              <v:stroke dashstyle="solid"/>
            </v:line>
            <v:line style="position:absolute" from="566,15317" to="11674,15317" stroked="true" strokeweight="4.320008pt" strokecolor="#000000">
              <v:stroke dashstyle="solid"/>
            </v:line>
            <v:shape style="position:absolute;left:11673;top:15273;width:87;height:87" coordorigin="11674,15274" coordsize="87,87" path="m11760,15274l11717,15274,11674,15274,11674,15317,11674,15360,11717,15360,11760,15360,11760,15317,11760,15274e" filled="true" fillcolor="#000000" stroked="false">
              <v:path arrowok="t"/>
              <v:fill type="solid"/>
            </v:shape>
            <w10:wrap type="none"/>
          </v:group>
        </w:pict>
      </w:r>
      <w:r>
        <w:rPr/>
        <w:t>proposal, including all proposed redlines. Any terms in the proposal regarding limitation of liability,</w:t>
      </w:r>
      <w:r>
        <w:rPr>
          <w:spacing w:val="-4"/>
        </w:rPr>
        <w:t> </w:t>
      </w:r>
      <w:r>
        <w:rPr/>
        <w:t>licensing,</w:t>
      </w:r>
      <w:r>
        <w:rPr>
          <w:spacing w:val="-4"/>
        </w:rPr>
        <w:t> </w:t>
      </w:r>
      <w:r>
        <w:rPr/>
        <w:t>limitation</w:t>
      </w:r>
      <w:r>
        <w:rPr>
          <w:spacing w:val="-6"/>
        </w:rPr>
        <w:t> </w:t>
      </w:r>
      <w:r>
        <w:rPr/>
        <w:t>in</w:t>
      </w:r>
      <w:r>
        <w:rPr>
          <w:spacing w:val="-7"/>
        </w:rPr>
        <w:t> </w:t>
      </w:r>
      <w:r>
        <w:rPr/>
        <w:t>time</w:t>
      </w:r>
      <w:r>
        <w:rPr>
          <w:spacing w:val="-6"/>
        </w:rPr>
        <w:t> </w:t>
      </w:r>
      <w:r>
        <w:rPr/>
        <w:t>of</w:t>
      </w:r>
      <w:r>
        <w:rPr>
          <w:spacing w:val="-6"/>
        </w:rPr>
        <w:t> </w:t>
      </w:r>
      <w:r>
        <w:rPr/>
        <w:t>warranty,</w:t>
      </w:r>
      <w:r>
        <w:rPr>
          <w:spacing w:val="-5"/>
        </w:rPr>
        <w:t> </w:t>
      </w:r>
      <w:r>
        <w:rPr/>
        <w:t>or</w:t>
      </w:r>
      <w:r>
        <w:rPr>
          <w:spacing w:val="-7"/>
        </w:rPr>
        <w:t> </w:t>
      </w:r>
      <w:r>
        <w:rPr/>
        <w:t>other</w:t>
      </w:r>
      <w:r>
        <w:rPr>
          <w:spacing w:val="-7"/>
        </w:rPr>
        <w:t> </w:t>
      </w:r>
      <w:r>
        <w:rPr/>
        <w:t>term</w:t>
      </w:r>
      <w:r>
        <w:rPr>
          <w:spacing w:val="-6"/>
        </w:rPr>
        <w:t> </w:t>
      </w:r>
      <w:r>
        <w:rPr/>
        <w:t>that</w:t>
      </w:r>
      <w:r>
        <w:rPr>
          <w:spacing w:val="-6"/>
        </w:rPr>
        <w:t> </w:t>
      </w:r>
      <w:r>
        <w:rPr/>
        <w:t>is</w:t>
      </w:r>
      <w:r>
        <w:rPr>
          <w:spacing w:val="-6"/>
        </w:rPr>
        <w:t> </w:t>
      </w:r>
      <w:r>
        <w:rPr/>
        <w:t>inconsistent</w:t>
      </w:r>
      <w:r>
        <w:rPr>
          <w:spacing w:val="-3"/>
        </w:rPr>
        <w:t> </w:t>
      </w:r>
      <w:r>
        <w:rPr/>
        <w:t>with</w:t>
      </w:r>
      <w:r>
        <w:rPr>
          <w:spacing w:val="-8"/>
        </w:rPr>
        <w:t> </w:t>
      </w:r>
      <w:r>
        <w:rPr/>
        <w:t>the</w:t>
      </w:r>
      <w:r>
        <w:rPr>
          <w:spacing w:val="-6"/>
        </w:rPr>
        <w:t> </w:t>
      </w:r>
      <w:r>
        <w:rPr/>
        <w:t>RFP requirements or standard Consulting Agreement will not be allowed. All contracts and/or addenda will be subject to the City’s sole approval. The requirements and service standards of this RFP and the responses of the successful TPA will be incorporated by reference into the final</w:t>
      </w:r>
      <w:r>
        <w:rPr>
          <w:spacing w:val="-5"/>
        </w:rPr>
        <w:t> </w:t>
      </w:r>
      <w:r>
        <w:rPr/>
        <w:t>contract.</w:t>
      </w:r>
    </w:p>
    <w:p>
      <w:pPr>
        <w:pStyle w:val="BodyText"/>
        <w:spacing w:before="9"/>
        <w:rPr>
          <w:sz w:val="21"/>
        </w:rPr>
      </w:pPr>
    </w:p>
    <w:p>
      <w:pPr>
        <w:pStyle w:val="ListParagraph"/>
        <w:numPr>
          <w:ilvl w:val="0"/>
          <w:numId w:val="2"/>
        </w:numPr>
        <w:tabs>
          <w:tab w:pos="841" w:val="left" w:leader="none"/>
        </w:tabs>
        <w:spacing w:line="240" w:lineRule="auto" w:before="0" w:after="0"/>
        <w:ind w:left="840" w:right="480" w:hanging="360"/>
        <w:jc w:val="both"/>
        <w:rPr>
          <w:sz w:val="22"/>
        </w:rPr>
      </w:pPr>
      <w:r>
        <w:rPr>
          <w:sz w:val="22"/>
        </w:rPr>
        <w:t>Proposals should expressly state that the offer, including all pricing proposals, will remain in effect</w:t>
      </w:r>
      <w:r>
        <w:rPr>
          <w:spacing w:val="-4"/>
          <w:sz w:val="22"/>
        </w:rPr>
        <w:t> </w:t>
      </w:r>
      <w:r>
        <w:rPr>
          <w:sz w:val="22"/>
        </w:rPr>
        <w:t>through</w:t>
      </w:r>
      <w:r>
        <w:rPr>
          <w:spacing w:val="-6"/>
          <w:sz w:val="22"/>
        </w:rPr>
        <w:t> </w:t>
      </w:r>
      <w:r>
        <w:rPr>
          <w:sz w:val="22"/>
        </w:rPr>
        <w:t>the</w:t>
      </w:r>
      <w:r>
        <w:rPr>
          <w:spacing w:val="-4"/>
          <w:sz w:val="22"/>
        </w:rPr>
        <w:t> </w:t>
      </w:r>
      <w:r>
        <w:rPr>
          <w:sz w:val="22"/>
        </w:rPr>
        <w:t>duration</w:t>
      </w:r>
      <w:r>
        <w:rPr>
          <w:spacing w:val="-5"/>
          <w:sz w:val="22"/>
        </w:rPr>
        <w:t> </w:t>
      </w:r>
      <w:r>
        <w:rPr>
          <w:sz w:val="22"/>
        </w:rPr>
        <w:t>of</w:t>
      </w:r>
      <w:r>
        <w:rPr>
          <w:spacing w:val="-4"/>
          <w:sz w:val="22"/>
        </w:rPr>
        <w:t> </w:t>
      </w:r>
      <w:r>
        <w:rPr>
          <w:sz w:val="22"/>
        </w:rPr>
        <w:t>the</w:t>
      </w:r>
      <w:r>
        <w:rPr>
          <w:spacing w:val="-5"/>
          <w:sz w:val="22"/>
        </w:rPr>
        <w:t> </w:t>
      </w:r>
      <w:r>
        <w:rPr>
          <w:sz w:val="22"/>
        </w:rPr>
        <w:t>contract,</w:t>
      </w:r>
      <w:r>
        <w:rPr>
          <w:spacing w:val="-5"/>
          <w:sz w:val="22"/>
        </w:rPr>
        <w:t> </w:t>
      </w:r>
      <w:r>
        <w:rPr>
          <w:sz w:val="22"/>
        </w:rPr>
        <w:t>including</w:t>
      </w:r>
      <w:r>
        <w:rPr>
          <w:spacing w:val="-4"/>
          <w:sz w:val="22"/>
        </w:rPr>
        <w:t> </w:t>
      </w:r>
      <w:r>
        <w:rPr>
          <w:sz w:val="22"/>
        </w:rPr>
        <w:t>any</w:t>
      </w:r>
      <w:r>
        <w:rPr>
          <w:spacing w:val="-6"/>
          <w:sz w:val="22"/>
        </w:rPr>
        <w:t> </w:t>
      </w:r>
      <w:r>
        <w:rPr>
          <w:sz w:val="22"/>
        </w:rPr>
        <w:t>price</w:t>
      </w:r>
      <w:r>
        <w:rPr>
          <w:spacing w:val="-4"/>
          <w:sz w:val="22"/>
        </w:rPr>
        <w:t> </w:t>
      </w:r>
      <w:r>
        <w:rPr>
          <w:sz w:val="22"/>
        </w:rPr>
        <w:t>increases</w:t>
      </w:r>
      <w:r>
        <w:rPr>
          <w:spacing w:val="-5"/>
          <w:sz w:val="22"/>
        </w:rPr>
        <w:t> </w:t>
      </w:r>
      <w:r>
        <w:rPr>
          <w:sz w:val="22"/>
        </w:rPr>
        <w:t>that</w:t>
      </w:r>
      <w:r>
        <w:rPr>
          <w:spacing w:val="-6"/>
          <w:sz w:val="22"/>
        </w:rPr>
        <w:t> </w:t>
      </w:r>
      <w:r>
        <w:rPr>
          <w:sz w:val="22"/>
        </w:rPr>
        <w:t>may</w:t>
      </w:r>
      <w:r>
        <w:rPr>
          <w:spacing w:val="-5"/>
          <w:sz w:val="22"/>
        </w:rPr>
        <w:t> </w:t>
      </w:r>
      <w:r>
        <w:rPr>
          <w:sz w:val="22"/>
        </w:rPr>
        <w:t>be</w:t>
      </w:r>
      <w:r>
        <w:rPr>
          <w:spacing w:val="-4"/>
          <w:sz w:val="22"/>
        </w:rPr>
        <w:t> </w:t>
      </w:r>
      <w:r>
        <w:rPr>
          <w:sz w:val="22"/>
        </w:rPr>
        <w:t>incurred each</w:t>
      </w:r>
      <w:r>
        <w:rPr>
          <w:spacing w:val="-1"/>
          <w:sz w:val="22"/>
        </w:rPr>
        <w:t> </w:t>
      </w:r>
      <w:r>
        <w:rPr>
          <w:sz w:val="22"/>
        </w:rPr>
        <w:t>year.</w:t>
      </w:r>
    </w:p>
    <w:p>
      <w:pPr>
        <w:pStyle w:val="BodyText"/>
        <w:spacing w:before="1"/>
      </w:pPr>
    </w:p>
    <w:p>
      <w:pPr>
        <w:pStyle w:val="ListParagraph"/>
        <w:numPr>
          <w:ilvl w:val="0"/>
          <w:numId w:val="2"/>
        </w:numPr>
        <w:tabs>
          <w:tab w:pos="902" w:val="left" w:leader="none"/>
        </w:tabs>
        <w:spacing w:line="240" w:lineRule="auto" w:before="0" w:after="0"/>
        <w:ind w:left="840" w:right="479" w:hanging="360"/>
        <w:jc w:val="both"/>
        <w:rPr>
          <w:sz w:val="22"/>
        </w:rPr>
      </w:pPr>
      <w:r>
        <w:rPr/>
        <w:tab/>
      </w:r>
      <w:r>
        <w:rPr>
          <w:sz w:val="22"/>
        </w:rPr>
        <w:t>“Questionnaire” (</w:t>
      </w:r>
      <w:r>
        <w:rPr>
          <w:b/>
          <w:sz w:val="22"/>
        </w:rPr>
        <w:t>Attachment “A”</w:t>
      </w:r>
      <w:r>
        <w:rPr>
          <w:sz w:val="22"/>
        </w:rPr>
        <w:t>) must be completed in its entirety as a requirement of</w:t>
      </w:r>
      <w:r>
        <w:rPr>
          <w:spacing w:val="-38"/>
          <w:sz w:val="22"/>
        </w:rPr>
        <w:t> </w:t>
      </w:r>
      <w:r>
        <w:rPr>
          <w:sz w:val="22"/>
        </w:rPr>
        <w:t>this RFP. It must be submitted in order for your proposal to be considered</w:t>
      </w:r>
      <w:r>
        <w:rPr>
          <w:spacing w:val="-8"/>
          <w:sz w:val="22"/>
        </w:rPr>
        <w:t> </w:t>
      </w:r>
      <w:r>
        <w:rPr>
          <w:sz w:val="22"/>
        </w:rPr>
        <w:t>complete.</w:t>
      </w:r>
    </w:p>
    <w:p>
      <w:pPr>
        <w:pStyle w:val="BodyText"/>
      </w:pPr>
    </w:p>
    <w:p>
      <w:pPr>
        <w:pStyle w:val="ListParagraph"/>
        <w:numPr>
          <w:ilvl w:val="0"/>
          <w:numId w:val="2"/>
        </w:numPr>
        <w:tabs>
          <w:tab w:pos="841" w:val="left" w:leader="none"/>
        </w:tabs>
        <w:spacing w:line="240" w:lineRule="auto" w:before="0" w:after="0"/>
        <w:ind w:left="840" w:right="481" w:hanging="360"/>
        <w:jc w:val="both"/>
        <w:rPr>
          <w:sz w:val="22"/>
        </w:rPr>
      </w:pPr>
      <w:r>
        <w:rPr>
          <w:sz w:val="22"/>
        </w:rPr>
        <w:t>The</w:t>
      </w:r>
      <w:r>
        <w:rPr>
          <w:spacing w:val="-9"/>
          <w:sz w:val="22"/>
        </w:rPr>
        <w:t> </w:t>
      </w:r>
      <w:r>
        <w:rPr>
          <w:sz w:val="22"/>
        </w:rPr>
        <w:t>relationship</w:t>
      </w:r>
      <w:r>
        <w:rPr>
          <w:spacing w:val="-7"/>
          <w:sz w:val="22"/>
        </w:rPr>
        <w:t> </w:t>
      </w:r>
      <w:r>
        <w:rPr>
          <w:sz w:val="22"/>
        </w:rPr>
        <w:t>between</w:t>
      </w:r>
      <w:r>
        <w:rPr>
          <w:spacing w:val="-2"/>
          <w:sz w:val="22"/>
        </w:rPr>
        <w:t> </w:t>
      </w:r>
      <w:r>
        <w:rPr>
          <w:sz w:val="22"/>
        </w:rPr>
        <w:t>the</w:t>
      </w:r>
      <w:r>
        <w:rPr>
          <w:spacing w:val="-5"/>
          <w:sz w:val="22"/>
        </w:rPr>
        <w:t> </w:t>
      </w:r>
      <w:r>
        <w:rPr>
          <w:sz w:val="22"/>
        </w:rPr>
        <w:t>City</w:t>
      </w:r>
      <w:r>
        <w:rPr>
          <w:spacing w:val="-9"/>
          <w:sz w:val="22"/>
        </w:rPr>
        <w:t> </w:t>
      </w:r>
      <w:r>
        <w:rPr>
          <w:sz w:val="22"/>
        </w:rPr>
        <w:t>and</w:t>
      </w:r>
      <w:r>
        <w:rPr>
          <w:spacing w:val="-8"/>
          <w:sz w:val="22"/>
        </w:rPr>
        <w:t> </w:t>
      </w:r>
      <w:r>
        <w:rPr>
          <w:sz w:val="22"/>
        </w:rPr>
        <w:t>the</w:t>
      </w:r>
      <w:r>
        <w:rPr>
          <w:spacing w:val="-5"/>
          <w:sz w:val="22"/>
        </w:rPr>
        <w:t> </w:t>
      </w:r>
      <w:r>
        <w:rPr>
          <w:sz w:val="22"/>
        </w:rPr>
        <w:t>company</w:t>
      </w:r>
      <w:r>
        <w:rPr>
          <w:spacing w:val="-5"/>
          <w:sz w:val="22"/>
        </w:rPr>
        <w:t> </w:t>
      </w:r>
      <w:r>
        <w:rPr>
          <w:sz w:val="22"/>
        </w:rPr>
        <w:t>selected</w:t>
      </w:r>
      <w:r>
        <w:rPr>
          <w:spacing w:val="-6"/>
          <w:sz w:val="22"/>
        </w:rPr>
        <w:t> </w:t>
      </w:r>
      <w:r>
        <w:rPr>
          <w:sz w:val="22"/>
        </w:rPr>
        <w:t>to</w:t>
      </w:r>
      <w:r>
        <w:rPr>
          <w:spacing w:val="-9"/>
          <w:sz w:val="22"/>
        </w:rPr>
        <w:t> </w:t>
      </w:r>
      <w:r>
        <w:rPr>
          <w:sz w:val="22"/>
        </w:rPr>
        <w:t>conduct</w:t>
      </w:r>
      <w:r>
        <w:rPr>
          <w:spacing w:val="-5"/>
          <w:sz w:val="22"/>
        </w:rPr>
        <w:t> </w:t>
      </w:r>
      <w:r>
        <w:rPr>
          <w:sz w:val="22"/>
        </w:rPr>
        <w:t>the</w:t>
      </w:r>
      <w:r>
        <w:rPr>
          <w:spacing w:val="-7"/>
          <w:sz w:val="22"/>
        </w:rPr>
        <w:t> </w:t>
      </w:r>
      <w:r>
        <w:rPr>
          <w:sz w:val="22"/>
        </w:rPr>
        <w:t>Services</w:t>
      </w:r>
      <w:r>
        <w:rPr>
          <w:spacing w:val="-5"/>
          <w:sz w:val="22"/>
        </w:rPr>
        <w:t> </w:t>
      </w:r>
      <w:r>
        <w:rPr>
          <w:sz w:val="22"/>
        </w:rPr>
        <w:t>shall</w:t>
      </w:r>
      <w:r>
        <w:rPr>
          <w:spacing w:val="-9"/>
          <w:sz w:val="22"/>
        </w:rPr>
        <w:t> </w:t>
      </w:r>
      <w:r>
        <w:rPr>
          <w:sz w:val="22"/>
        </w:rPr>
        <w:t>be governed by a contract that must be approved by City Council. Upon the City’s acceptance of a proposal, the successful TPA will be required to execute the Contract. Any proposed waiver</w:t>
      </w:r>
      <w:r>
        <w:rPr>
          <w:spacing w:val="-3"/>
          <w:sz w:val="22"/>
        </w:rPr>
        <w:t> </w:t>
      </w:r>
      <w:r>
        <w:rPr>
          <w:sz w:val="22"/>
        </w:rPr>
        <w:t>or</w:t>
      </w:r>
      <w:r>
        <w:rPr>
          <w:spacing w:val="-3"/>
          <w:sz w:val="22"/>
        </w:rPr>
        <w:t> </w:t>
      </w:r>
      <w:r>
        <w:rPr>
          <w:sz w:val="22"/>
        </w:rPr>
        <w:t>change</w:t>
      </w:r>
      <w:r>
        <w:rPr>
          <w:spacing w:val="-5"/>
          <w:sz w:val="22"/>
        </w:rPr>
        <w:t> </w:t>
      </w:r>
      <w:r>
        <w:rPr>
          <w:sz w:val="22"/>
        </w:rPr>
        <w:t>in</w:t>
      </w:r>
      <w:r>
        <w:rPr>
          <w:spacing w:val="-8"/>
          <w:sz w:val="22"/>
        </w:rPr>
        <w:t> </w:t>
      </w:r>
      <w:r>
        <w:rPr>
          <w:sz w:val="22"/>
        </w:rPr>
        <w:t>the</w:t>
      </w:r>
      <w:r>
        <w:rPr>
          <w:spacing w:val="-7"/>
          <w:sz w:val="22"/>
        </w:rPr>
        <w:t> </w:t>
      </w:r>
      <w:r>
        <w:rPr>
          <w:sz w:val="22"/>
        </w:rPr>
        <w:t>Contract</w:t>
      </w:r>
      <w:r>
        <w:rPr>
          <w:spacing w:val="-4"/>
          <w:sz w:val="22"/>
        </w:rPr>
        <w:t> </w:t>
      </w:r>
      <w:r>
        <w:rPr>
          <w:sz w:val="22"/>
        </w:rPr>
        <w:t>must</w:t>
      </w:r>
      <w:r>
        <w:rPr>
          <w:spacing w:val="-2"/>
          <w:sz w:val="22"/>
        </w:rPr>
        <w:t> </w:t>
      </w:r>
      <w:r>
        <w:rPr>
          <w:sz w:val="22"/>
        </w:rPr>
        <w:t>be</w:t>
      </w:r>
      <w:r>
        <w:rPr>
          <w:spacing w:val="-8"/>
          <w:sz w:val="22"/>
        </w:rPr>
        <w:t> </w:t>
      </w:r>
      <w:r>
        <w:rPr>
          <w:sz w:val="22"/>
        </w:rPr>
        <w:t>identified</w:t>
      </w:r>
      <w:r>
        <w:rPr>
          <w:spacing w:val="-3"/>
          <w:sz w:val="22"/>
        </w:rPr>
        <w:t> </w:t>
      </w:r>
      <w:r>
        <w:rPr>
          <w:sz w:val="22"/>
        </w:rPr>
        <w:t>in</w:t>
      </w:r>
      <w:r>
        <w:rPr>
          <w:spacing w:val="-4"/>
          <w:sz w:val="22"/>
        </w:rPr>
        <w:t> </w:t>
      </w:r>
      <w:r>
        <w:rPr>
          <w:sz w:val="22"/>
        </w:rPr>
        <w:t>your</w:t>
      </w:r>
      <w:r>
        <w:rPr>
          <w:spacing w:val="-4"/>
          <w:sz w:val="22"/>
        </w:rPr>
        <w:t> </w:t>
      </w:r>
      <w:r>
        <w:rPr>
          <w:sz w:val="22"/>
        </w:rPr>
        <w:t>proposal</w:t>
      </w:r>
      <w:r>
        <w:rPr>
          <w:spacing w:val="-7"/>
          <w:sz w:val="22"/>
        </w:rPr>
        <w:t> </w:t>
      </w:r>
      <w:r>
        <w:rPr>
          <w:sz w:val="22"/>
        </w:rPr>
        <w:t>and</w:t>
      </w:r>
      <w:r>
        <w:rPr>
          <w:spacing w:val="-6"/>
          <w:sz w:val="22"/>
        </w:rPr>
        <w:t> </w:t>
      </w:r>
      <w:r>
        <w:rPr>
          <w:sz w:val="22"/>
        </w:rPr>
        <w:t>will</w:t>
      </w:r>
      <w:r>
        <w:rPr>
          <w:spacing w:val="-3"/>
          <w:sz w:val="22"/>
        </w:rPr>
        <w:t> </w:t>
      </w:r>
      <w:r>
        <w:rPr>
          <w:sz w:val="22"/>
        </w:rPr>
        <w:t>be</w:t>
      </w:r>
      <w:r>
        <w:rPr>
          <w:spacing w:val="-4"/>
          <w:sz w:val="22"/>
        </w:rPr>
        <w:t> </w:t>
      </w:r>
      <w:r>
        <w:rPr>
          <w:sz w:val="22"/>
        </w:rPr>
        <w:t>subject</w:t>
      </w:r>
      <w:r>
        <w:rPr>
          <w:spacing w:val="-4"/>
          <w:sz w:val="22"/>
        </w:rPr>
        <w:t> </w:t>
      </w:r>
      <w:r>
        <w:rPr>
          <w:sz w:val="22"/>
        </w:rPr>
        <w:t>to</w:t>
      </w:r>
      <w:r>
        <w:rPr>
          <w:spacing w:val="-5"/>
          <w:sz w:val="22"/>
        </w:rPr>
        <w:t> </w:t>
      </w:r>
      <w:r>
        <w:rPr>
          <w:sz w:val="22"/>
        </w:rPr>
        <w:t>the City’s sole</w:t>
      </w:r>
      <w:r>
        <w:rPr>
          <w:spacing w:val="2"/>
          <w:sz w:val="22"/>
        </w:rPr>
        <w:t> </w:t>
      </w:r>
      <w:r>
        <w:rPr>
          <w:sz w:val="22"/>
        </w:rPr>
        <w:t>approval.</w:t>
      </w:r>
    </w:p>
    <w:p>
      <w:pPr>
        <w:pStyle w:val="BodyText"/>
        <w:spacing w:before="1"/>
        <w:rPr>
          <w:sz w:val="14"/>
        </w:rPr>
      </w:pPr>
    </w:p>
    <w:p>
      <w:pPr>
        <w:pStyle w:val="Heading1"/>
        <w:spacing w:before="91"/>
        <w:rPr>
          <w:u w:val="none"/>
        </w:rPr>
      </w:pPr>
      <w:r>
        <w:rPr>
          <w:spacing w:val="-187"/>
          <w:u w:val="thick"/>
        </w:rPr>
        <w:t>S</w:t>
      </w:r>
      <w:r>
        <w:rPr>
          <w:spacing w:val="112"/>
          <w:u w:val="none"/>
        </w:rPr>
        <w:t> </w:t>
      </w:r>
      <w:r>
        <w:rPr>
          <w:u w:val="thick"/>
        </w:rPr>
        <w:t>ection F</w:t>
      </w:r>
    </w:p>
    <w:p>
      <w:pPr>
        <w:pStyle w:val="Heading2"/>
        <w:ind w:right="1047"/>
      </w:pPr>
      <w:r>
        <w:rPr/>
        <w:t>SELECTION CRITERIA</w:t>
      </w:r>
    </w:p>
    <w:p>
      <w:pPr>
        <w:pStyle w:val="BodyText"/>
        <w:spacing w:before="10"/>
        <w:rPr>
          <w:b/>
          <w:sz w:val="21"/>
        </w:rPr>
      </w:pPr>
    </w:p>
    <w:p>
      <w:pPr>
        <w:pStyle w:val="BodyText"/>
        <w:ind w:left="480" w:right="481"/>
        <w:jc w:val="both"/>
      </w:pPr>
      <w:r>
        <w:rPr/>
        <w:t>Proposals will be analyzed and the award made to the most responsive and responsible TPA whose proposal conforms to the solicitation and whose proposal is considered to be most advantageous to the City.</w:t>
      </w:r>
    </w:p>
    <w:p>
      <w:pPr>
        <w:pStyle w:val="BodyText"/>
        <w:spacing w:before="1"/>
      </w:pPr>
    </w:p>
    <w:p>
      <w:pPr>
        <w:pStyle w:val="BodyText"/>
        <w:ind w:left="480"/>
        <w:jc w:val="both"/>
      </w:pPr>
      <w:r>
        <w:rPr/>
        <w:t>The following evaluation factors will also be considered when reviewing the proposals:</w:t>
      </w:r>
    </w:p>
    <w:p>
      <w:pPr>
        <w:pStyle w:val="BodyText"/>
        <w:spacing w:before="10"/>
        <w:rPr>
          <w:sz w:val="27"/>
        </w:rPr>
      </w:pPr>
    </w:p>
    <w:tbl>
      <w:tblPr>
        <w:tblW w:w="0" w:type="auto"/>
        <w:jc w:val="left"/>
        <w:tblInd w:w="24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0" w:type="dxa"/>
          <w:left w:w="0" w:type="dxa"/>
          <w:bottom w:w="0" w:type="dxa"/>
          <w:right w:w="0" w:type="dxa"/>
        </w:tblCellMar>
        <w:tblLook w:val="01E0"/>
      </w:tblPr>
      <w:tblGrid>
        <w:gridCol w:w="5395"/>
      </w:tblGrid>
      <w:tr>
        <w:trPr>
          <w:trHeight w:val="505" w:hRule="atLeast"/>
        </w:trPr>
        <w:tc>
          <w:tcPr>
            <w:tcW w:w="5395" w:type="dxa"/>
          </w:tcPr>
          <w:p>
            <w:pPr>
              <w:pStyle w:val="TableParagraph"/>
              <w:spacing w:before="2"/>
              <w:ind w:left="969" w:right="960"/>
              <w:jc w:val="center"/>
              <w:rPr>
                <w:b/>
                <w:sz w:val="22"/>
              </w:rPr>
            </w:pPr>
            <w:r>
              <w:rPr>
                <w:b/>
                <w:sz w:val="22"/>
              </w:rPr>
              <w:t>Evaluation Criteria</w:t>
            </w:r>
          </w:p>
        </w:tc>
      </w:tr>
      <w:tr>
        <w:trPr>
          <w:trHeight w:val="527" w:hRule="atLeast"/>
        </w:trPr>
        <w:tc>
          <w:tcPr>
            <w:tcW w:w="5395" w:type="dxa"/>
          </w:tcPr>
          <w:p>
            <w:pPr>
              <w:pStyle w:val="TableParagraph"/>
              <w:spacing w:before="2"/>
              <w:ind w:left="750" w:hanging="581"/>
              <w:rPr>
                <w:sz w:val="22"/>
              </w:rPr>
            </w:pPr>
            <w:r>
              <w:rPr>
                <w:sz w:val="22"/>
              </w:rPr>
              <w:t>Experience, resources, and qualifications of the firm and individuals assigned to this contract</w:t>
            </w:r>
          </w:p>
        </w:tc>
      </w:tr>
      <w:tr>
        <w:trPr>
          <w:trHeight w:val="510" w:hRule="atLeast"/>
        </w:trPr>
        <w:tc>
          <w:tcPr>
            <w:tcW w:w="5395" w:type="dxa"/>
          </w:tcPr>
          <w:p>
            <w:pPr>
              <w:pStyle w:val="TableParagraph"/>
              <w:spacing w:line="254" w:lineRule="exact" w:before="3"/>
              <w:ind w:left="777" w:right="748"/>
              <w:rPr>
                <w:sz w:val="22"/>
              </w:rPr>
            </w:pPr>
            <w:r>
              <w:rPr>
                <w:sz w:val="22"/>
              </w:rPr>
              <w:t>Electronic Claims Management System Functionality, Accessibility and Security</w:t>
            </w:r>
          </w:p>
        </w:tc>
      </w:tr>
      <w:tr>
        <w:trPr>
          <w:trHeight w:val="263" w:hRule="atLeast"/>
        </w:trPr>
        <w:tc>
          <w:tcPr>
            <w:tcW w:w="5395" w:type="dxa"/>
          </w:tcPr>
          <w:p>
            <w:pPr>
              <w:pStyle w:val="TableParagraph"/>
              <w:spacing w:line="243" w:lineRule="exact"/>
              <w:ind w:left="969" w:right="964"/>
              <w:jc w:val="center"/>
              <w:rPr>
                <w:sz w:val="22"/>
              </w:rPr>
            </w:pPr>
            <w:r>
              <w:rPr>
                <w:sz w:val="22"/>
              </w:rPr>
              <w:t>Proposed Claim Management Plan</w:t>
            </w:r>
          </w:p>
        </w:tc>
      </w:tr>
      <w:tr>
        <w:trPr>
          <w:trHeight w:val="261" w:hRule="atLeast"/>
        </w:trPr>
        <w:tc>
          <w:tcPr>
            <w:tcW w:w="5395" w:type="dxa"/>
          </w:tcPr>
          <w:p>
            <w:pPr>
              <w:pStyle w:val="TableParagraph"/>
              <w:spacing w:line="241" w:lineRule="exact"/>
              <w:ind w:left="969" w:right="959"/>
              <w:jc w:val="center"/>
              <w:rPr>
                <w:sz w:val="22"/>
              </w:rPr>
            </w:pPr>
            <w:r>
              <w:rPr>
                <w:sz w:val="22"/>
              </w:rPr>
              <w:t>Cost Management Strategy</w:t>
            </w:r>
          </w:p>
        </w:tc>
      </w:tr>
      <w:tr>
        <w:trPr>
          <w:trHeight w:val="254" w:hRule="atLeast"/>
        </w:trPr>
        <w:tc>
          <w:tcPr>
            <w:tcW w:w="5395" w:type="dxa"/>
          </w:tcPr>
          <w:p>
            <w:pPr>
              <w:pStyle w:val="TableParagraph"/>
              <w:spacing w:line="234" w:lineRule="exact"/>
              <w:ind w:left="969" w:right="961"/>
              <w:jc w:val="center"/>
              <w:rPr>
                <w:sz w:val="22"/>
              </w:rPr>
            </w:pPr>
            <w:r>
              <w:rPr>
                <w:sz w:val="22"/>
              </w:rPr>
              <w:t>Fees charged, overall price</w:t>
            </w:r>
          </w:p>
        </w:tc>
      </w:tr>
      <w:tr>
        <w:trPr>
          <w:trHeight w:val="253" w:hRule="atLeast"/>
        </w:trPr>
        <w:tc>
          <w:tcPr>
            <w:tcW w:w="5395" w:type="dxa"/>
          </w:tcPr>
          <w:p>
            <w:pPr>
              <w:pStyle w:val="TableParagraph"/>
              <w:spacing w:line="234" w:lineRule="exact"/>
              <w:ind w:left="969" w:right="958"/>
              <w:jc w:val="center"/>
              <w:rPr>
                <w:sz w:val="22"/>
              </w:rPr>
            </w:pPr>
            <w:r>
              <w:rPr>
                <w:sz w:val="22"/>
              </w:rPr>
              <w:t>Reference(s)</w:t>
            </w:r>
          </w:p>
        </w:tc>
      </w:tr>
    </w:tbl>
    <w:p>
      <w:pPr>
        <w:pStyle w:val="BodyText"/>
        <w:spacing w:before="4"/>
        <w:rPr>
          <w:sz w:val="33"/>
        </w:rPr>
      </w:pPr>
    </w:p>
    <w:p>
      <w:pPr>
        <w:pStyle w:val="BodyText"/>
        <w:spacing w:line="276" w:lineRule="auto"/>
        <w:ind w:left="480" w:right="483"/>
        <w:jc w:val="both"/>
      </w:pPr>
      <w:r>
        <w:rPr/>
        <w:t>The City will act as the sole judge of the merit and qualifications of the materials and services offered and accept whatever proposal is deemed to be most advantageous to the City. The City reserves the right to:</w:t>
      </w:r>
    </w:p>
    <w:p>
      <w:pPr>
        <w:pStyle w:val="ListParagraph"/>
        <w:numPr>
          <w:ilvl w:val="0"/>
          <w:numId w:val="3"/>
        </w:numPr>
        <w:tabs>
          <w:tab w:pos="1421" w:val="left" w:leader="none"/>
        </w:tabs>
        <w:spacing w:line="240" w:lineRule="auto" w:before="121" w:after="0"/>
        <w:ind w:left="1420" w:right="0" w:hanging="361"/>
        <w:jc w:val="both"/>
        <w:rPr>
          <w:sz w:val="21"/>
        </w:rPr>
      </w:pPr>
      <w:r>
        <w:rPr>
          <w:sz w:val="22"/>
        </w:rPr>
        <w:t>Reject any or all</w:t>
      </w:r>
      <w:r>
        <w:rPr>
          <w:spacing w:val="-5"/>
          <w:sz w:val="22"/>
        </w:rPr>
        <w:t> </w:t>
      </w:r>
      <w:r>
        <w:rPr>
          <w:sz w:val="22"/>
        </w:rPr>
        <w:t>submittals;</w:t>
      </w:r>
    </w:p>
    <w:p>
      <w:pPr>
        <w:pStyle w:val="ListParagraph"/>
        <w:numPr>
          <w:ilvl w:val="0"/>
          <w:numId w:val="3"/>
        </w:numPr>
        <w:tabs>
          <w:tab w:pos="1422" w:val="left" w:leader="none"/>
        </w:tabs>
        <w:spacing w:line="240" w:lineRule="auto" w:before="170" w:after="0"/>
        <w:ind w:left="1421" w:right="0" w:hanging="362"/>
        <w:jc w:val="both"/>
        <w:rPr>
          <w:sz w:val="22"/>
        </w:rPr>
      </w:pPr>
      <w:r>
        <w:rPr>
          <w:sz w:val="22"/>
        </w:rPr>
        <w:t>Request clarification of any submitted</w:t>
      </w:r>
      <w:r>
        <w:rPr>
          <w:spacing w:val="-1"/>
          <w:sz w:val="22"/>
        </w:rPr>
        <w:t> </w:t>
      </w:r>
      <w:r>
        <w:rPr>
          <w:sz w:val="22"/>
        </w:rPr>
        <w:t>information;</w:t>
      </w:r>
    </w:p>
    <w:p>
      <w:pPr>
        <w:pStyle w:val="ListParagraph"/>
        <w:numPr>
          <w:ilvl w:val="0"/>
          <w:numId w:val="3"/>
        </w:numPr>
        <w:tabs>
          <w:tab w:pos="1422" w:val="left" w:leader="none"/>
        </w:tabs>
        <w:spacing w:line="240" w:lineRule="auto" w:before="169" w:after="0"/>
        <w:ind w:left="1421" w:right="0" w:hanging="362"/>
        <w:jc w:val="left"/>
        <w:rPr>
          <w:sz w:val="22"/>
        </w:rPr>
      </w:pPr>
      <w:r>
        <w:rPr>
          <w:sz w:val="22"/>
        </w:rPr>
        <w:t>Waive any informalities or non-material irregularities in any</w:t>
      </w:r>
      <w:r>
        <w:rPr>
          <w:spacing w:val="-4"/>
          <w:sz w:val="22"/>
        </w:rPr>
        <w:t> </w:t>
      </w:r>
      <w:r>
        <w:rPr>
          <w:sz w:val="22"/>
        </w:rPr>
        <w:t>proposal;</w:t>
      </w:r>
    </w:p>
    <w:p>
      <w:pPr>
        <w:pStyle w:val="ListParagraph"/>
        <w:numPr>
          <w:ilvl w:val="0"/>
          <w:numId w:val="3"/>
        </w:numPr>
        <w:tabs>
          <w:tab w:pos="1422" w:val="left" w:leader="none"/>
        </w:tabs>
        <w:spacing w:line="240" w:lineRule="auto" w:before="167" w:after="0"/>
        <w:ind w:left="1421" w:right="0" w:hanging="362"/>
        <w:jc w:val="left"/>
        <w:rPr>
          <w:sz w:val="22"/>
        </w:rPr>
      </w:pPr>
      <w:r>
        <w:rPr>
          <w:sz w:val="22"/>
        </w:rPr>
        <w:t>Not enter into any</w:t>
      </w:r>
      <w:r>
        <w:rPr>
          <w:spacing w:val="-2"/>
          <w:sz w:val="22"/>
        </w:rPr>
        <w:t> </w:t>
      </w:r>
      <w:r>
        <w:rPr>
          <w:sz w:val="22"/>
        </w:rPr>
        <w:t>contract;</w:t>
      </w:r>
    </w:p>
    <w:p>
      <w:pPr>
        <w:pStyle w:val="ListParagraph"/>
        <w:numPr>
          <w:ilvl w:val="0"/>
          <w:numId w:val="3"/>
        </w:numPr>
        <w:tabs>
          <w:tab w:pos="1422" w:val="left" w:leader="none"/>
        </w:tabs>
        <w:spacing w:line="240" w:lineRule="auto" w:before="169" w:after="0"/>
        <w:ind w:left="1421" w:right="0" w:hanging="362"/>
        <w:jc w:val="left"/>
        <w:rPr>
          <w:sz w:val="22"/>
        </w:rPr>
      </w:pPr>
      <w:r>
        <w:rPr>
          <w:sz w:val="22"/>
        </w:rPr>
        <w:t>Cancel this process at any</w:t>
      </w:r>
      <w:r>
        <w:rPr>
          <w:spacing w:val="-6"/>
          <w:sz w:val="22"/>
        </w:rPr>
        <w:t> </w:t>
      </w:r>
      <w:r>
        <w:rPr>
          <w:sz w:val="22"/>
        </w:rPr>
        <w:t>time;</w:t>
      </w:r>
    </w:p>
    <w:p>
      <w:pPr>
        <w:spacing w:after="0" w:line="240" w:lineRule="auto"/>
        <w:jc w:val="left"/>
        <w:rPr>
          <w:sz w:val="22"/>
        </w:rPr>
        <w:sectPr>
          <w:pgSz w:w="12240" w:h="15840"/>
          <w:pgMar w:header="0" w:footer="1248" w:top="740" w:bottom="1440" w:left="960" w:right="960"/>
        </w:sectPr>
      </w:pPr>
    </w:p>
    <w:p>
      <w:pPr>
        <w:pStyle w:val="ListParagraph"/>
        <w:numPr>
          <w:ilvl w:val="0"/>
          <w:numId w:val="3"/>
        </w:numPr>
        <w:tabs>
          <w:tab w:pos="1422" w:val="left" w:leader="none"/>
        </w:tabs>
        <w:spacing w:line="240" w:lineRule="auto" w:before="73" w:after="0"/>
        <w:ind w:left="1421" w:right="0" w:hanging="362"/>
        <w:jc w:val="left"/>
        <w:rPr>
          <w:sz w:val="22"/>
        </w:rPr>
      </w:pPr>
      <w:r>
        <w:rPr/>
        <w:pict>
          <v:group style="position:absolute;margin-left:26.160002pt;margin-top:26.160002pt;width:561.85pt;height:741.85pt;mso-position-horizontal-relative:page;mso-position-vertical-relative:page;z-index:-253971456" coordorigin="523,523" coordsize="11237,14837">
            <v:line style="position:absolute" from="523,545" to="11674,545" stroked="true" strokeweight="2.159998pt" strokecolor="#000000">
              <v:stroke dashstyle="solid"/>
            </v:line>
            <v:rect style="position:absolute;left:11673;top:523;width:44;height:44" filled="true" fillcolor="#000000" stroked="false">
              <v:fill type="solid"/>
            </v:rect>
            <v:line style="position:absolute" from="545,566" to="545,15317" stroked="true" strokeweight="2.159998pt" strokecolor="#000000">
              <v:stroke dashstyle="solid"/>
            </v:line>
            <v:line style="position:absolute" from="11717,566" to="11717,15274" stroked="true" strokeweight="4.320008pt" strokecolor="#000000">
              <v:stroke dashstyle="solid"/>
            </v:line>
            <v:line style="position:absolute" from="566,15317" to="11674,15317" stroked="true" strokeweight="4.320008pt" strokecolor="#000000">
              <v:stroke dashstyle="solid"/>
            </v:line>
            <v:shape style="position:absolute;left:11673;top:15273;width:87;height:87" coordorigin="11674,15274" coordsize="87,87" path="m11760,15274l11717,15274,11674,15274,11674,15317,11674,15360,11717,15360,11760,15360,11760,15317,11760,15274e" filled="true" fillcolor="#000000" stroked="false">
              <v:path arrowok="t"/>
              <v:fill type="solid"/>
            </v:shape>
            <w10:wrap type="none"/>
          </v:group>
        </w:pict>
      </w:r>
      <w:r>
        <w:rPr>
          <w:sz w:val="22"/>
        </w:rPr>
        <w:t>Amend this process at any</w:t>
      </w:r>
      <w:r>
        <w:rPr>
          <w:spacing w:val="-8"/>
          <w:sz w:val="22"/>
        </w:rPr>
        <w:t> </w:t>
      </w:r>
      <w:r>
        <w:rPr>
          <w:sz w:val="22"/>
        </w:rPr>
        <w:t>time;</w:t>
      </w:r>
    </w:p>
    <w:p>
      <w:pPr>
        <w:pStyle w:val="ListParagraph"/>
        <w:numPr>
          <w:ilvl w:val="0"/>
          <w:numId w:val="3"/>
        </w:numPr>
        <w:tabs>
          <w:tab w:pos="1422" w:val="left" w:leader="none"/>
        </w:tabs>
        <w:spacing w:line="240" w:lineRule="auto" w:before="167" w:after="0"/>
        <w:ind w:left="1421" w:right="0" w:hanging="362"/>
        <w:jc w:val="left"/>
        <w:rPr>
          <w:sz w:val="22"/>
        </w:rPr>
      </w:pPr>
      <w:r>
        <w:rPr>
          <w:sz w:val="22"/>
        </w:rPr>
        <w:t>Enter into negotiations with one or more</w:t>
      </w:r>
      <w:r>
        <w:rPr>
          <w:spacing w:val="-2"/>
          <w:sz w:val="22"/>
        </w:rPr>
        <w:t> </w:t>
      </w:r>
      <w:r>
        <w:rPr>
          <w:sz w:val="22"/>
        </w:rPr>
        <w:t>firms;</w:t>
      </w:r>
    </w:p>
    <w:p>
      <w:pPr>
        <w:pStyle w:val="ListParagraph"/>
        <w:numPr>
          <w:ilvl w:val="0"/>
          <w:numId w:val="3"/>
        </w:numPr>
        <w:tabs>
          <w:tab w:pos="1422" w:val="left" w:leader="none"/>
        </w:tabs>
        <w:spacing w:line="240" w:lineRule="auto" w:before="170" w:after="0"/>
        <w:ind w:left="1421" w:right="0" w:hanging="362"/>
        <w:jc w:val="left"/>
        <w:rPr>
          <w:sz w:val="22"/>
        </w:rPr>
      </w:pPr>
      <w:r>
        <w:rPr>
          <w:sz w:val="22"/>
        </w:rPr>
        <w:t>Issue similar solicitations in the future;</w:t>
      </w:r>
      <w:r>
        <w:rPr>
          <w:spacing w:val="-5"/>
          <w:sz w:val="22"/>
        </w:rPr>
        <w:t> </w:t>
      </w:r>
      <w:r>
        <w:rPr>
          <w:sz w:val="22"/>
        </w:rPr>
        <w:t>or</w:t>
      </w:r>
    </w:p>
    <w:p>
      <w:pPr>
        <w:pStyle w:val="ListParagraph"/>
        <w:numPr>
          <w:ilvl w:val="0"/>
          <w:numId w:val="3"/>
        </w:numPr>
        <w:tabs>
          <w:tab w:pos="1422" w:val="left" w:leader="none"/>
        </w:tabs>
        <w:spacing w:line="240" w:lineRule="auto" w:before="167" w:after="0"/>
        <w:ind w:left="1421" w:right="0" w:hanging="362"/>
        <w:jc w:val="left"/>
        <w:rPr>
          <w:sz w:val="22"/>
        </w:rPr>
      </w:pPr>
      <w:r>
        <w:rPr>
          <w:sz w:val="22"/>
        </w:rPr>
        <w:t>Request additional information from prospective</w:t>
      </w:r>
      <w:r>
        <w:rPr>
          <w:spacing w:val="-2"/>
          <w:sz w:val="22"/>
        </w:rPr>
        <w:t> </w:t>
      </w:r>
      <w:r>
        <w:rPr>
          <w:sz w:val="22"/>
        </w:rPr>
        <w:t>TPA.</w:t>
      </w:r>
    </w:p>
    <w:p>
      <w:pPr>
        <w:pStyle w:val="BodyText"/>
        <w:spacing w:before="167"/>
        <w:ind w:left="480" w:right="563"/>
      </w:pPr>
      <w:r>
        <w:rPr/>
        <w:t>Prior to contract award, the City may require bidders to demonstrate its solution to the selection committee at no cost to the City.</w:t>
      </w:r>
    </w:p>
    <w:p>
      <w:pPr>
        <w:pStyle w:val="BodyText"/>
        <w:spacing w:before="10"/>
        <w:rPr>
          <w:sz w:val="13"/>
        </w:rPr>
      </w:pPr>
    </w:p>
    <w:p>
      <w:pPr>
        <w:pStyle w:val="Heading1"/>
        <w:spacing w:before="92"/>
        <w:rPr>
          <w:u w:val="none"/>
        </w:rPr>
      </w:pPr>
      <w:r>
        <w:rPr>
          <w:spacing w:val="-187"/>
          <w:u w:val="thick"/>
        </w:rPr>
        <w:t>S</w:t>
      </w:r>
      <w:r>
        <w:rPr>
          <w:spacing w:val="112"/>
          <w:u w:val="none"/>
        </w:rPr>
        <w:t> </w:t>
      </w:r>
      <w:r>
        <w:rPr>
          <w:u w:val="thick"/>
        </w:rPr>
        <w:t>ECTION G</w:t>
      </w:r>
    </w:p>
    <w:p>
      <w:pPr>
        <w:pStyle w:val="Heading2"/>
      </w:pPr>
      <w:r>
        <w:rPr/>
        <w:t>GENERAL TERMS AND CONDITIONS</w:t>
      </w:r>
    </w:p>
    <w:p>
      <w:pPr>
        <w:pStyle w:val="BodyText"/>
        <w:spacing w:before="1"/>
        <w:rPr>
          <w:b/>
        </w:rPr>
      </w:pPr>
    </w:p>
    <w:p>
      <w:pPr>
        <w:pStyle w:val="Heading4"/>
        <w:numPr>
          <w:ilvl w:val="0"/>
          <w:numId w:val="4"/>
        </w:numPr>
        <w:tabs>
          <w:tab w:pos="480" w:val="left" w:leader="none"/>
        </w:tabs>
        <w:spacing w:line="252" w:lineRule="exact" w:before="0" w:after="0"/>
        <w:ind w:left="480" w:right="0" w:hanging="360"/>
        <w:jc w:val="both"/>
      </w:pPr>
      <w:r>
        <w:rPr/>
        <w:t>Public</w:t>
      </w:r>
      <w:r>
        <w:rPr>
          <w:spacing w:val="-2"/>
        </w:rPr>
        <w:t> </w:t>
      </w:r>
      <w:r>
        <w:rPr/>
        <w:t>Information</w:t>
      </w:r>
    </w:p>
    <w:p>
      <w:pPr>
        <w:pStyle w:val="BodyText"/>
        <w:ind w:left="480" w:right="479"/>
        <w:jc w:val="both"/>
      </w:pPr>
      <w:r>
        <w:rPr/>
        <w:t>The City reserves the right to retain all proposals submitted and to use any ideas in a proposal regardless of whether that proposal is selected. Submission of a proposal indicates acceptance by</w:t>
      </w:r>
      <w:r>
        <w:rPr>
          <w:spacing w:val="-13"/>
        </w:rPr>
        <w:t> </w:t>
      </w:r>
      <w:r>
        <w:rPr/>
        <w:t>the</w:t>
      </w:r>
      <w:r>
        <w:rPr>
          <w:spacing w:val="-12"/>
        </w:rPr>
        <w:t> </w:t>
      </w:r>
      <w:r>
        <w:rPr/>
        <w:t>TPA</w:t>
      </w:r>
      <w:r>
        <w:rPr>
          <w:spacing w:val="-11"/>
        </w:rPr>
        <w:t> </w:t>
      </w:r>
      <w:r>
        <w:rPr/>
        <w:t>of</w:t>
      </w:r>
      <w:r>
        <w:rPr>
          <w:spacing w:val="-7"/>
        </w:rPr>
        <w:t> </w:t>
      </w:r>
      <w:r>
        <w:rPr/>
        <w:t>the</w:t>
      </w:r>
      <w:r>
        <w:rPr>
          <w:spacing w:val="-14"/>
        </w:rPr>
        <w:t> </w:t>
      </w:r>
      <w:r>
        <w:rPr/>
        <w:t>conditions</w:t>
      </w:r>
      <w:r>
        <w:rPr>
          <w:spacing w:val="-8"/>
        </w:rPr>
        <w:t> </w:t>
      </w:r>
      <w:r>
        <w:rPr/>
        <w:t>contained</w:t>
      </w:r>
      <w:r>
        <w:rPr>
          <w:spacing w:val="-13"/>
        </w:rPr>
        <w:t> </w:t>
      </w:r>
      <w:r>
        <w:rPr/>
        <w:t>in</w:t>
      </w:r>
      <w:r>
        <w:rPr>
          <w:spacing w:val="-11"/>
        </w:rPr>
        <w:t> </w:t>
      </w:r>
      <w:r>
        <w:rPr/>
        <w:t>the</w:t>
      </w:r>
      <w:r>
        <w:rPr>
          <w:spacing w:val="-11"/>
        </w:rPr>
        <w:t> </w:t>
      </w:r>
      <w:r>
        <w:rPr/>
        <w:t>Request</w:t>
      </w:r>
      <w:r>
        <w:rPr>
          <w:spacing w:val="-13"/>
        </w:rPr>
        <w:t> </w:t>
      </w:r>
      <w:r>
        <w:rPr/>
        <w:t>for</w:t>
      </w:r>
      <w:r>
        <w:rPr>
          <w:spacing w:val="-12"/>
        </w:rPr>
        <w:t> </w:t>
      </w:r>
      <w:r>
        <w:rPr/>
        <w:t>Proposal,</w:t>
      </w:r>
      <w:r>
        <w:rPr>
          <w:spacing w:val="-12"/>
        </w:rPr>
        <w:t> </w:t>
      </w:r>
      <w:r>
        <w:rPr/>
        <w:t>unless</w:t>
      </w:r>
      <w:r>
        <w:rPr>
          <w:spacing w:val="-12"/>
        </w:rPr>
        <w:t> </w:t>
      </w:r>
      <w:r>
        <w:rPr/>
        <w:t>clearly</w:t>
      </w:r>
      <w:r>
        <w:rPr>
          <w:spacing w:val="-12"/>
        </w:rPr>
        <w:t> </w:t>
      </w:r>
      <w:r>
        <w:rPr/>
        <w:t>and</w:t>
      </w:r>
      <w:r>
        <w:rPr>
          <w:spacing w:val="-11"/>
        </w:rPr>
        <w:t> </w:t>
      </w:r>
      <w:r>
        <w:rPr/>
        <w:t>specifically noted in the document submitted and confirmed in contract between the City and the company selected.</w:t>
      </w:r>
    </w:p>
    <w:p>
      <w:pPr>
        <w:pStyle w:val="BodyText"/>
        <w:spacing w:before="1"/>
      </w:pPr>
    </w:p>
    <w:p>
      <w:pPr>
        <w:pStyle w:val="Heading4"/>
        <w:numPr>
          <w:ilvl w:val="0"/>
          <w:numId w:val="4"/>
        </w:numPr>
        <w:tabs>
          <w:tab w:pos="480" w:val="left" w:leader="none"/>
        </w:tabs>
        <w:spacing w:line="252" w:lineRule="exact" w:before="0" w:after="0"/>
        <w:ind w:left="480" w:right="0" w:hanging="360"/>
        <w:jc w:val="both"/>
      </w:pPr>
      <w:r>
        <w:rPr/>
        <w:t>Confidential</w:t>
      </w:r>
      <w:r>
        <w:rPr>
          <w:spacing w:val="-1"/>
        </w:rPr>
        <w:t> </w:t>
      </w:r>
      <w:r>
        <w:rPr/>
        <w:t>Information</w:t>
      </w:r>
    </w:p>
    <w:p>
      <w:pPr>
        <w:pStyle w:val="BodyText"/>
        <w:ind w:left="480" w:right="479"/>
        <w:jc w:val="both"/>
      </w:pPr>
      <w:r>
        <w:rPr/>
        <w:t>Any information deemed confidential or proprietary should be clearly identified by the TPA as such.</w:t>
      </w:r>
      <w:r>
        <w:rPr>
          <w:spacing w:val="47"/>
        </w:rPr>
        <w:t> </w:t>
      </w:r>
      <w:r>
        <w:rPr/>
        <w:t>It</w:t>
      </w:r>
      <w:r>
        <w:rPr>
          <w:spacing w:val="-6"/>
        </w:rPr>
        <w:t> </w:t>
      </w:r>
      <w:r>
        <w:rPr/>
        <w:t>will</w:t>
      </w:r>
      <w:r>
        <w:rPr>
          <w:spacing w:val="-6"/>
        </w:rPr>
        <w:t> </w:t>
      </w:r>
      <w:r>
        <w:rPr/>
        <w:t>be</w:t>
      </w:r>
      <w:r>
        <w:rPr>
          <w:spacing w:val="-7"/>
        </w:rPr>
        <w:t> </w:t>
      </w:r>
      <w:r>
        <w:rPr/>
        <w:t>protected</w:t>
      </w:r>
      <w:r>
        <w:rPr>
          <w:spacing w:val="-8"/>
        </w:rPr>
        <w:t> </w:t>
      </w:r>
      <w:r>
        <w:rPr/>
        <w:t>and</w:t>
      </w:r>
      <w:r>
        <w:rPr>
          <w:spacing w:val="-7"/>
        </w:rPr>
        <w:t> </w:t>
      </w:r>
      <w:r>
        <w:rPr/>
        <w:t>treated</w:t>
      </w:r>
      <w:r>
        <w:rPr>
          <w:spacing w:val="-7"/>
        </w:rPr>
        <w:t> </w:t>
      </w:r>
      <w:r>
        <w:rPr/>
        <w:t>with</w:t>
      </w:r>
      <w:r>
        <w:rPr>
          <w:spacing w:val="-7"/>
        </w:rPr>
        <w:t> </w:t>
      </w:r>
      <w:r>
        <w:rPr/>
        <w:t>confidentiality</w:t>
      </w:r>
      <w:r>
        <w:rPr>
          <w:spacing w:val="-8"/>
        </w:rPr>
        <w:t> </w:t>
      </w:r>
      <w:r>
        <w:rPr/>
        <w:t>only</w:t>
      </w:r>
      <w:r>
        <w:rPr>
          <w:spacing w:val="-9"/>
        </w:rPr>
        <w:t> </w:t>
      </w:r>
      <w:r>
        <w:rPr/>
        <w:t>to</w:t>
      </w:r>
      <w:r>
        <w:rPr>
          <w:spacing w:val="-6"/>
        </w:rPr>
        <w:t> </w:t>
      </w:r>
      <w:r>
        <w:rPr/>
        <w:t>the</w:t>
      </w:r>
      <w:r>
        <w:rPr>
          <w:spacing w:val="-8"/>
        </w:rPr>
        <w:t> </w:t>
      </w:r>
      <w:r>
        <w:rPr/>
        <w:t>extent</w:t>
      </w:r>
      <w:r>
        <w:rPr>
          <w:spacing w:val="-6"/>
        </w:rPr>
        <w:t> </w:t>
      </w:r>
      <w:r>
        <w:rPr/>
        <w:t>permitted</w:t>
      </w:r>
      <w:r>
        <w:rPr>
          <w:spacing w:val="-7"/>
        </w:rPr>
        <w:t> </w:t>
      </w:r>
      <w:r>
        <w:rPr/>
        <w:t>by</w:t>
      </w:r>
      <w:r>
        <w:rPr>
          <w:spacing w:val="-8"/>
        </w:rPr>
        <w:t> </w:t>
      </w:r>
      <w:r>
        <w:rPr/>
        <w:t>California State</w:t>
      </w:r>
      <w:r>
        <w:rPr>
          <w:spacing w:val="-12"/>
        </w:rPr>
        <w:t> </w:t>
      </w:r>
      <w:r>
        <w:rPr/>
        <w:t>Law</w:t>
      </w:r>
      <w:r>
        <w:rPr>
          <w:spacing w:val="-13"/>
        </w:rPr>
        <w:t> </w:t>
      </w:r>
      <w:r>
        <w:rPr/>
        <w:t>considering</w:t>
      </w:r>
      <w:r>
        <w:rPr>
          <w:spacing w:val="-8"/>
        </w:rPr>
        <w:t> </w:t>
      </w:r>
      <w:r>
        <w:rPr/>
        <w:t>public</w:t>
      </w:r>
      <w:r>
        <w:rPr>
          <w:spacing w:val="-13"/>
        </w:rPr>
        <w:t> </w:t>
      </w:r>
      <w:r>
        <w:rPr/>
        <w:t>information.</w:t>
      </w:r>
      <w:r>
        <w:rPr>
          <w:spacing w:val="41"/>
        </w:rPr>
        <w:t> </w:t>
      </w:r>
      <w:r>
        <w:rPr/>
        <w:t>Otherwise,</w:t>
      </w:r>
      <w:r>
        <w:rPr>
          <w:spacing w:val="-13"/>
        </w:rPr>
        <w:t> </w:t>
      </w:r>
      <w:r>
        <w:rPr/>
        <w:t>the</w:t>
      </w:r>
      <w:r>
        <w:rPr>
          <w:spacing w:val="-11"/>
        </w:rPr>
        <w:t> </w:t>
      </w:r>
      <w:r>
        <w:rPr/>
        <w:t>information</w:t>
      </w:r>
      <w:r>
        <w:rPr>
          <w:spacing w:val="-11"/>
        </w:rPr>
        <w:t> </w:t>
      </w:r>
      <w:r>
        <w:rPr/>
        <w:t>shall</w:t>
      </w:r>
      <w:r>
        <w:rPr>
          <w:spacing w:val="-12"/>
        </w:rPr>
        <w:t> </w:t>
      </w:r>
      <w:r>
        <w:rPr/>
        <w:t>be</w:t>
      </w:r>
      <w:r>
        <w:rPr>
          <w:spacing w:val="-11"/>
        </w:rPr>
        <w:t> </w:t>
      </w:r>
      <w:r>
        <w:rPr/>
        <w:t>considered</w:t>
      </w:r>
      <w:r>
        <w:rPr>
          <w:spacing w:val="-11"/>
        </w:rPr>
        <w:t> </w:t>
      </w:r>
      <w:r>
        <w:rPr/>
        <w:t>a</w:t>
      </w:r>
      <w:r>
        <w:rPr>
          <w:spacing w:val="-11"/>
        </w:rPr>
        <w:t> </w:t>
      </w:r>
      <w:r>
        <w:rPr/>
        <w:t>public record.</w:t>
      </w:r>
    </w:p>
    <w:p>
      <w:pPr>
        <w:pStyle w:val="BodyText"/>
        <w:spacing w:before="10"/>
        <w:rPr>
          <w:sz w:val="21"/>
        </w:rPr>
      </w:pPr>
    </w:p>
    <w:p>
      <w:pPr>
        <w:pStyle w:val="Heading4"/>
        <w:numPr>
          <w:ilvl w:val="0"/>
          <w:numId w:val="4"/>
        </w:numPr>
        <w:tabs>
          <w:tab w:pos="480" w:val="left" w:leader="none"/>
        </w:tabs>
        <w:spacing w:line="252" w:lineRule="exact" w:before="1" w:after="0"/>
        <w:ind w:left="480" w:right="0" w:hanging="360"/>
        <w:jc w:val="both"/>
      </w:pPr>
      <w:r>
        <w:rPr/>
        <w:t>Request for Proposal</w:t>
      </w:r>
      <w:r>
        <w:rPr>
          <w:spacing w:val="2"/>
        </w:rPr>
        <w:t> </w:t>
      </w:r>
      <w:r>
        <w:rPr/>
        <w:t>Provisions</w:t>
      </w:r>
    </w:p>
    <w:p>
      <w:pPr>
        <w:pStyle w:val="BodyText"/>
        <w:ind w:left="480" w:right="482"/>
        <w:jc w:val="both"/>
      </w:pPr>
      <w:r>
        <w:rPr/>
        <w:t>The City reserves the right to amend, alter, or revoke this Request for Proposal at or before the due date and time of proposal. Any modifications, clarification, or additions will be distributed via email as an addendum and/or will be posted on the City’s Website.</w:t>
      </w:r>
    </w:p>
    <w:p>
      <w:pPr>
        <w:pStyle w:val="BodyText"/>
      </w:pPr>
    </w:p>
    <w:p>
      <w:pPr>
        <w:pStyle w:val="Heading4"/>
        <w:numPr>
          <w:ilvl w:val="0"/>
          <w:numId w:val="4"/>
        </w:numPr>
        <w:tabs>
          <w:tab w:pos="480" w:val="left" w:leader="none"/>
        </w:tabs>
        <w:spacing w:line="252" w:lineRule="exact" w:before="0" w:after="0"/>
        <w:ind w:left="480" w:right="0" w:hanging="360"/>
        <w:jc w:val="both"/>
      </w:pPr>
      <w:r>
        <w:rPr/>
        <w:t>Proposal Preparation</w:t>
      </w:r>
      <w:r>
        <w:rPr>
          <w:spacing w:val="1"/>
        </w:rPr>
        <w:t> </w:t>
      </w:r>
      <w:r>
        <w:rPr/>
        <w:t>Cost</w:t>
      </w:r>
    </w:p>
    <w:p>
      <w:pPr>
        <w:pStyle w:val="BodyText"/>
        <w:ind w:left="480" w:right="484"/>
        <w:jc w:val="both"/>
      </w:pPr>
      <w:r>
        <w:rPr/>
        <w:t>There is no express or implied obligation for the City to reimburse responding companies for</w:t>
      </w:r>
      <w:r>
        <w:rPr>
          <w:spacing w:val="-36"/>
        </w:rPr>
        <w:t> </w:t>
      </w:r>
      <w:r>
        <w:rPr/>
        <w:t>any expenses incurred in preparing proposals in response to this Request for</w:t>
      </w:r>
      <w:r>
        <w:rPr>
          <w:spacing w:val="-20"/>
        </w:rPr>
        <w:t> </w:t>
      </w:r>
      <w:r>
        <w:rPr/>
        <w:t>Proposal.</w:t>
      </w:r>
    </w:p>
    <w:p>
      <w:pPr>
        <w:pStyle w:val="BodyText"/>
        <w:spacing w:before="1"/>
      </w:pPr>
    </w:p>
    <w:p>
      <w:pPr>
        <w:pStyle w:val="Heading4"/>
        <w:numPr>
          <w:ilvl w:val="0"/>
          <w:numId w:val="4"/>
        </w:numPr>
        <w:tabs>
          <w:tab w:pos="480" w:val="left" w:leader="none"/>
        </w:tabs>
        <w:spacing w:line="252" w:lineRule="exact" w:before="0" w:after="0"/>
        <w:ind w:left="480" w:right="0" w:hanging="360"/>
        <w:jc w:val="both"/>
      </w:pPr>
      <w:r>
        <w:rPr/>
        <w:t>Late</w:t>
      </w:r>
      <w:r>
        <w:rPr>
          <w:spacing w:val="-1"/>
        </w:rPr>
        <w:t> </w:t>
      </w:r>
      <w:r>
        <w:rPr/>
        <w:t>Proposals</w:t>
      </w:r>
    </w:p>
    <w:p>
      <w:pPr>
        <w:pStyle w:val="BodyText"/>
        <w:ind w:left="480" w:right="485"/>
        <w:jc w:val="both"/>
      </w:pPr>
      <w:r>
        <w:rPr/>
        <w:t>Any</w:t>
      </w:r>
      <w:r>
        <w:rPr>
          <w:spacing w:val="-6"/>
        </w:rPr>
        <w:t> </w:t>
      </w:r>
      <w:r>
        <w:rPr/>
        <w:t>required</w:t>
      </w:r>
      <w:r>
        <w:rPr>
          <w:spacing w:val="-3"/>
        </w:rPr>
        <w:t> </w:t>
      </w:r>
      <w:r>
        <w:rPr/>
        <w:t>documents</w:t>
      </w:r>
      <w:r>
        <w:rPr>
          <w:spacing w:val="-8"/>
        </w:rPr>
        <w:t> </w:t>
      </w:r>
      <w:r>
        <w:rPr/>
        <w:t>received</w:t>
      </w:r>
      <w:r>
        <w:rPr>
          <w:spacing w:val="-2"/>
        </w:rPr>
        <w:t> </w:t>
      </w:r>
      <w:r>
        <w:rPr/>
        <w:t>after</w:t>
      </w:r>
      <w:r>
        <w:rPr>
          <w:spacing w:val="-4"/>
        </w:rPr>
        <w:t> </w:t>
      </w:r>
      <w:r>
        <w:rPr/>
        <w:t>the</w:t>
      </w:r>
      <w:r>
        <w:rPr>
          <w:spacing w:val="-3"/>
        </w:rPr>
        <w:t> </w:t>
      </w:r>
      <w:r>
        <w:rPr/>
        <w:t>exact</w:t>
      </w:r>
      <w:r>
        <w:rPr>
          <w:spacing w:val="-6"/>
        </w:rPr>
        <w:t> </w:t>
      </w:r>
      <w:r>
        <w:rPr/>
        <w:t>due</w:t>
      </w:r>
      <w:r>
        <w:rPr>
          <w:spacing w:val="-3"/>
        </w:rPr>
        <w:t> </w:t>
      </w:r>
      <w:r>
        <w:rPr/>
        <w:t>date</w:t>
      </w:r>
      <w:r>
        <w:rPr>
          <w:spacing w:val="-1"/>
        </w:rPr>
        <w:t> </w:t>
      </w:r>
      <w:r>
        <w:rPr/>
        <w:t>and</w:t>
      </w:r>
      <w:r>
        <w:rPr>
          <w:spacing w:val="-4"/>
        </w:rPr>
        <w:t> </w:t>
      </w:r>
      <w:r>
        <w:rPr/>
        <w:t>time</w:t>
      </w:r>
      <w:r>
        <w:rPr>
          <w:spacing w:val="-3"/>
        </w:rPr>
        <w:t> </w:t>
      </w:r>
      <w:r>
        <w:rPr/>
        <w:t>will</w:t>
      </w:r>
      <w:r>
        <w:rPr>
          <w:spacing w:val="-3"/>
        </w:rPr>
        <w:t> </w:t>
      </w:r>
      <w:r>
        <w:rPr/>
        <w:t>be</w:t>
      </w:r>
      <w:r>
        <w:rPr>
          <w:spacing w:val="-1"/>
        </w:rPr>
        <w:t> </w:t>
      </w:r>
      <w:r>
        <w:rPr/>
        <w:t>rejected</w:t>
      </w:r>
      <w:r>
        <w:rPr>
          <w:spacing w:val="-3"/>
        </w:rPr>
        <w:t> </w:t>
      </w:r>
      <w:r>
        <w:rPr/>
        <w:t>and</w:t>
      </w:r>
      <w:r>
        <w:rPr>
          <w:spacing w:val="-5"/>
        </w:rPr>
        <w:t> </w:t>
      </w:r>
      <w:r>
        <w:rPr/>
        <w:t>returned to the prospective TPA</w:t>
      </w:r>
      <w:r>
        <w:rPr>
          <w:spacing w:val="2"/>
        </w:rPr>
        <w:t> </w:t>
      </w:r>
      <w:r>
        <w:rPr/>
        <w:t>unopened.</w:t>
      </w:r>
    </w:p>
    <w:p>
      <w:pPr>
        <w:pStyle w:val="BodyText"/>
        <w:spacing w:before="11"/>
        <w:rPr>
          <w:sz w:val="21"/>
        </w:rPr>
      </w:pPr>
    </w:p>
    <w:p>
      <w:pPr>
        <w:pStyle w:val="Heading4"/>
        <w:numPr>
          <w:ilvl w:val="0"/>
          <w:numId w:val="4"/>
        </w:numPr>
        <w:tabs>
          <w:tab w:pos="480" w:val="left" w:leader="none"/>
        </w:tabs>
        <w:spacing w:line="240" w:lineRule="auto" w:before="0" w:after="0"/>
        <w:ind w:left="480" w:right="0" w:hanging="360"/>
        <w:jc w:val="both"/>
      </w:pPr>
      <w:r>
        <w:rPr/>
        <w:t>Withdrawal of</w:t>
      </w:r>
      <w:r>
        <w:rPr>
          <w:spacing w:val="-3"/>
        </w:rPr>
        <w:t> </w:t>
      </w:r>
      <w:r>
        <w:rPr/>
        <w:t>Proposal</w:t>
      </w:r>
    </w:p>
    <w:p>
      <w:pPr>
        <w:pStyle w:val="BodyText"/>
        <w:spacing w:before="1"/>
        <w:ind w:left="480" w:right="481"/>
        <w:jc w:val="both"/>
      </w:pPr>
      <w:r>
        <w:rPr/>
        <w:t>TPAs may modify or withdraw their proposal, either personally or by written request, at any time prior to the scheduled closing time of proposals. Such requests should be directed to the Purchasing Supervisor and RFP Coordinator.</w:t>
      </w:r>
    </w:p>
    <w:p>
      <w:pPr>
        <w:pStyle w:val="BodyText"/>
        <w:spacing w:before="10"/>
        <w:rPr>
          <w:sz w:val="21"/>
        </w:rPr>
      </w:pPr>
    </w:p>
    <w:p>
      <w:pPr>
        <w:pStyle w:val="Heading4"/>
        <w:numPr>
          <w:ilvl w:val="0"/>
          <w:numId w:val="4"/>
        </w:numPr>
        <w:tabs>
          <w:tab w:pos="480" w:val="left" w:leader="none"/>
        </w:tabs>
        <w:spacing w:line="240" w:lineRule="auto" w:before="0" w:after="0"/>
        <w:ind w:left="480" w:right="0" w:hanging="360"/>
        <w:jc w:val="both"/>
      </w:pPr>
      <w:r>
        <w:rPr/>
        <w:t>Inaccuracies or</w:t>
      </w:r>
      <w:r>
        <w:rPr>
          <w:spacing w:val="-6"/>
        </w:rPr>
        <w:t> </w:t>
      </w:r>
      <w:r>
        <w:rPr/>
        <w:t>Misinterpretations</w:t>
      </w:r>
    </w:p>
    <w:p>
      <w:pPr>
        <w:pStyle w:val="BodyText"/>
        <w:spacing w:before="2"/>
        <w:ind w:left="480" w:right="478"/>
        <w:jc w:val="both"/>
      </w:pPr>
      <w:r>
        <w:rPr/>
        <w:t>If, in the course of the RFP process or in the administration of a resulting contract, the City determines that a TPA has made a material misstatement or misrepresentation or that</w:t>
      </w:r>
      <w:r>
        <w:rPr>
          <w:spacing w:val="-38"/>
        </w:rPr>
        <w:t> </w:t>
      </w:r>
      <w:r>
        <w:rPr/>
        <w:t>materially inaccurate information has been provided to the City, the TPA may be terminated from the RFP process</w:t>
      </w:r>
      <w:r>
        <w:rPr>
          <w:spacing w:val="-17"/>
        </w:rPr>
        <w:t> </w:t>
      </w:r>
      <w:r>
        <w:rPr/>
        <w:t>or</w:t>
      </w:r>
      <w:r>
        <w:rPr>
          <w:spacing w:val="-17"/>
        </w:rPr>
        <w:t> </w:t>
      </w:r>
      <w:r>
        <w:rPr/>
        <w:t>in</w:t>
      </w:r>
      <w:r>
        <w:rPr>
          <w:spacing w:val="-15"/>
        </w:rPr>
        <w:t> </w:t>
      </w:r>
      <w:r>
        <w:rPr/>
        <w:t>the</w:t>
      </w:r>
      <w:r>
        <w:rPr>
          <w:spacing w:val="-19"/>
        </w:rPr>
        <w:t> </w:t>
      </w:r>
      <w:r>
        <w:rPr/>
        <w:t>event</w:t>
      </w:r>
      <w:r>
        <w:rPr>
          <w:spacing w:val="-12"/>
        </w:rPr>
        <w:t> </w:t>
      </w:r>
      <w:r>
        <w:rPr/>
        <w:t>a</w:t>
      </w:r>
      <w:r>
        <w:rPr>
          <w:spacing w:val="-18"/>
        </w:rPr>
        <w:t> </w:t>
      </w:r>
      <w:r>
        <w:rPr/>
        <w:t>contract</w:t>
      </w:r>
      <w:r>
        <w:rPr>
          <w:spacing w:val="-15"/>
        </w:rPr>
        <w:t> </w:t>
      </w:r>
      <w:r>
        <w:rPr/>
        <w:t>has</w:t>
      </w:r>
      <w:r>
        <w:rPr>
          <w:spacing w:val="-17"/>
        </w:rPr>
        <w:t> </w:t>
      </w:r>
      <w:r>
        <w:rPr/>
        <w:t>been</w:t>
      </w:r>
      <w:r>
        <w:rPr>
          <w:spacing w:val="-18"/>
        </w:rPr>
        <w:t> </w:t>
      </w:r>
      <w:r>
        <w:rPr/>
        <w:t>awarded,</w:t>
      </w:r>
      <w:r>
        <w:rPr>
          <w:spacing w:val="-17"/>
        </w:rPr>
        <w:t> </w:t>
      </w:r>
      <w:r>
        <w:rPr/>
        <w:t>the</w:t>
      </w:r>
      <w:r>
        <w:rPr>
          <w:spacing w:val="-15"/>
        </w:rPr>
        <w:t> </w:t>
      </w:r>
      <w:r>
        <w:rPr/>
        <w:t>contract</w:t>
      </w:r>
      <w:r>
        <w:rPr>
          <w:spacing w:val="-16"/>
        </w:rPr>
        <w:t> </w:t>
      </w:r>
      <w:r>
        <w:rPr/>
        <w:t>may</w:t>
      </w:r>
      <w:r>
        <w:rPr>
          <w:spacing w:val="-17"/>
        </w:rPr>
        <w:t> </w:t>
      </w:r>
      <w:r>
        <w:rPr/>
        <w:t>be</w:t>
      </w:r>
      <w:r>
        <w:rPr>
          <w:spacing w:val="-15"/>
        </w:rPr>
        <w:t> </w:t>
      </w:r>
      <w:r>
        <w:rPr/>
        <w:t>immediately</w:t>
      </w:r>
      <w:r>
        <w:rPr>
          <w:spacing w:val="-16"/>
        </w:rPr>
        <w:t> </w:t>
      </w:r>
      <w:r>
        <w:rPr/>
        <w:t>terminated.</w:t>
      </w:r>
    </w:p>
    <w:p>
      <w:pPr>
        <w:pStyle w:val="BodyText"/>
        <w:spacing w:before="11"/>
        <w:rPr>
          <w:sz w:val="21"/>
        </w:rPr>
      </w:pPr>
    </w:p>
    <w:p>
      <w:pPr>
        <w:pStyle w:val="Heading4"/>
        <w:numPr>
          <w:ilvl w:val="0"/>
          <w:numId w:val="4"/>
        </w:numPr>
        <w:tabs>
          <w:tab w:pos="480" w:val="left" w:leader="none"/>
        </w:tabs>
        <w:spacing w:line="252" w:lineRule="exact" w:before="0" w:after="0"/>
        <w:ind w:left="480" w:right="0" w:hanging="360"/>
        <w:jc w:val="both"/>
      </w:pPr>
      <w:r>
        <w:rPr/>
        <w:t>Business</w:t>
      </w:r>
      <w:r>
        <w:rPr>
          <w:spacing w:val="1"/>
        </w:rPr>
        <w:t> </w:t>
      </w:r>
      <w:r>
        <w:rPr/>
        <w:t>License</w:t>
      </w:r>
    </w:p>
    <w:p>
      <w:pPr>
        <w:pStyle w:val="BodyText"/>
        <w:ind w:left="480" w:right="483"/>
        <w:jc w:val="both"/>
      </w:pPr>
      <w:r>
        <w:rPr/>
        <w:t>The successful TPA shall be required to obtain a City Business License prior to the award of the contract.</w:t>
      </w:r>
    </w:p>
    <w:p>
      <w:pPr>
        <w:spacing w:after="0"/>
        <w:jc w:val="both"/>
        <w:sectPr>
          <w:pgSz w:w="12240" w:h="15840"/>
          <w:pgMar w:header="0" w:footer="1248" w:top="740" w:bottom="1440" w:left="960" w:right="960"/>
        </w:sectPr>
      </w:pPr>
    </w:p>
    <w:p>
      <w:pPr>
        <w:pStyle w:val="Heading4"/>
        <w:numPr>
          <w:ilvl w:val="0"/>
          <w:numId w:val="4"/>
        </w:numPr>
        <w:tabs>
          <w:tab w:pos="480" w:val="left" w:leader="none"/>
        </w:tabs>
        <w:spacing w:line="252" w:lineRule="exact" w:before="63" w:after="0"/>
        <w:ind w:left="480" w:right="0" w:hanging="360"/>
        <w:jc w:val="both"/>
      </w:pPr>
      <w:r>
        <w:rPr/>
        <w:pict>
          <v:group style="position:absolute;margin-left:26.160002pt;margin-top:26.160002pt;width:561.85pt;height:741.85pt;mso-position-horizontal-relative:page;mso-position-vertical-relative:page;z-index:-253970432" coordorigin="523,523" coordsize="11237,14837">
            <v:line style="position:absolute" from="523,545" to="11674,545" stroked="true" strokeweight="2.159998pt" strokecolor="#000000">
              <v:stroke dashstyle="solid"/>
            </v:line>
            <v:rect style="position:absolute;left:11673;top:523;width:44;height:44" filled="true" fillcolor="#000000" stroked="false">
              <v:fill type="solid"/>
            </v:rect>
            <v:line style="position:absolute" from="545,566" to="545,15317" stroked="true" strokeweight="2.159998pt" strokecolor="#000000">
              <v:stroke dashstyle="solid"/>
            </v:line>
            <v:line style="position:absolute" from="11717,566" to="11717,15274" stroked="true" strokeweight="4.320008pt" strokecolor="#000000">
              <v:stroke dashstyle="solid"/>
            </v:line>
            <v:line style="position:absolute" from="566,15317" to="11674,15317" stroked="true" strokeweight="4.320008pt" strokecolor="#000000">
              <v:stroke dashstyle="solid"/>
            </v:line>
            <v:shape style="position:absolute;left:11673;top:15273;width:87;height:87" coordorigin="11674,15274" coordsize="87,87" path="m11760,15274l11717,15274,11674,15274,11674,15317,11674,15360,11717,15360,11760,15360,11760,15317,11760,15274e" filled="true" fillcolor="#000000" stroked="false">
              <v:path arrowok="t"/>
              <v:fill type="solid"/>
            </v:shape>
            <w10:wrap type="none"/>
          </v:group>
        </w:pict>
      </w:r>
      <w:r>
        <w:rPr/>
        <w:t>Signature</w:t>
      </w:r>
    </w:p>
    <w:p>
      <w:pPr>
        <w:pStyle w:val="BodyText"/>
        <w:ind w:left="480" w:right="482"/>
        <w:jc w:val="both"/>
      </w:pPr>
      <w:r>
        <w:rPr/>
        <w:t>All proposals shall be signed in the name of the TPA and shall bear the original signature in longhand of the persons duly authorized to sign the proposal. Obligations assumed by such signature shall be fulfilled.</w:t>
      </w:r>
    </w:p>
    <w:p>
      <w:pPr>
        <w:pStyle w:val="BodyText"/>
      </w:pPr>
    </w:p>
    <w:p>
      <w:pPr>
        <w:pStyle w:val="Heading4"/>
        <w:numPr>
          <w:ilvl w:val="0"/>
          <w:numId w:val="4"/>
        </w:numPr>
        <w:tabs>
          <w:tab w:pos="480" w:val="left" w:leader="none"/>
        </w:tabs>
        <w:spacing w:line="252" w:lineRule="exact" w:before="0" w:after="0"/>
        <w:ind w:left="480" w:right="0" w:hanging="360"/>
        <w:jc w:val="both"/>
      </w:pPr>
      <w:r>
        <w:rPr/>
        <w:t>Attorney Fees and</w:t>
      </w:r>
      <w:r>
        <w:rPr>
          <w:spacing w:val="-4"/>
        </w:rPr>
        <w:t> </w:t>
      </w:r>
      <w:r>
        <w:rPr/>
        <w:t>Venue</w:t>
      </w:r>
    </w:p>
    <w:p>
      <w:pPr>
        <w:pStyle w:val="BodyText"/>
        <w:ind w:left="480" w:right="480"/>
        <w:jc w:val="both"/>
      </w:pPr>
      <w:r>
        <w:rPr/>
        <w:t>In the event that legal action is required to enforce the terms and conditions of this RFP, the prevailing party will be entitled to reasonable attorneys' fees and costs.</w:t>
      </w:r>
    </w:p>
    <w:p>
      <w:pPr>
        <w:pStyle w:val="BodyText"/>
        <w:spacing w:before="2"/>
      </w:pPr>
    </w:p>
    <w:p>
      <w:pPr>
        <w:pStyle w:val="BodyText"/>
        <w:ind w:left="480" w:right="484"/>
        <w:jc w:val="both"/>
      </w:pPr>
      <w:r>
        <w:rPr/>
        <w:t>This</w:t>
      </w:r>
      <w:r>
        <w:rPr>
          <w:spacing w:val="-11"/>
        </w:rPr>
        <w:t> </w:t>
      </w:r>
      <w:r>
        <w:rPr/>
        <w:t>RFP</w:t>
      </w:r>
      <w:r>
        <w:rPr>
          <w:spacing w:val="-9"/>
        </w:rPr>
        <w:t> </w:t>
      </w:r>
      <w:r>
        <w:rPr/>
        <w:t>is</w:t>
      </w:r>
      <w:r>
        <w:rPr>
          <w:spacing w:val="-10"/>
        </w:rPr>
        <w:t> </w:t>
      </w:r>
      <w:r>
        <w:rPr/>
        <w:t>governed</w:t>
      </w:r>
      <w:r>
        <w:rPr>
          <w:spacing w:val="-8"/>
        </w:rPr>
        <w:t> </w:t>
      </w:r>
      <w:r>
        <w:rPr/>
        <w:t>by</w:t>
      </w:r>
      <w:r>
        <w:rPr>
          <w:spacing w:val="-12"/>
        </w:rPr>
        <w:t> </w:t>
      </w:r>
      <w:r>
        <w:rPr/>
        <w:t>the</w:t>
      </w:r>
      <w:r>
        <w:rPr>
          <w:spacing w:val="-9"/>
        </w:rPr>
        <w:t> </w:t>
      </w:r>
      <w:r>
        <w:rPr/>
        <w:t>laws</w:t>
      </w:r>
      <w:r>
        <w:rPr>
          <w:spacing w:val="-8"/>
        </w:rPr>
        <w:t> </w:t>
      </w:r>
      <w:r>
        <w:rPr/>
        <w:t>of</w:t>
      </w:r>
      <w:r>
        <w:rPr>
          <w:spacing w:val="-8"/>
        </w:rPr>
        <w:t> </w:t>
      </w:r>
      <w:r>
        <w:rPr/>
        <w:t>the</w:t>
      </w:r>
      <w:r>
        <w:rPr>
          <w:spacing w:val="-9"/>
        </w:rPr>
        <w:t> </w:t>
      </w:r>
      <w:r>
        <w:rPr/>
        <w:t>State</w:t>
      </w:r>
      <w:r>
        <w:rPr>
          <w:spacing w:val="-8"/>
        </w:rPr>
        <w:t> </w:t>
      </w:r>
      <w:r>
        <w:rPr/>
        <w:t>of</w:t>
      </w:r>
      <w:r>
        <w:rPr>
          <w:spacing w:val="-9"/>
        </w:rPr>
        <w:t> </w:t>
      </w:r>
      <w:r>
        <w:rPr/>
        <w:t>California.</w:t>
      </w:r>
      <w:r>
        <w:rPr>
          <w:spacing w:val="45"/>
        </w:rPr>
        <w:t> </w:t>
      </w:r>
      <w:r>
        <w:rPr/>
        <w:t>Venue</w:t>
      </w:r>
      <w:r>
        <w:rPr>
          <w:spacing w:val="-11"/>
        </w:rPr>
        <w:t> </w:t>
      </w:r>
      <w:r>
        <w:rPr/>
        <w:t>for</w:t>
      </w:r>
      <w:r>
        <w:rPr>
          <w:spacing w:val="-8"/>
        </w:rPr>
        <w:t> </w:t>
      </w:r>
      <w:r>
        <w:rPr/>
        <w:t>all</w:t>
      </w:r>
      <w:r>
        <w:rPr>
          <w:spacing w:val="-8"/>
        </w:rPr>
        <w:t> </w:t>
      </w:r>
      <w:r>
        <w:rPr/>
        <w:t>actions</w:t>
      </w:r>
      <w:r>
        <w:rPr>
          <w:spacing w:val="-6"/>
        </w:rPr>
        <w:t> </w:t>
      </w:r>
      <w:r>
        <w:rPr/>
        <w:t>arising</w:t>
      </w:r>
      <w:r>
        <w:rPr>
          <w:spacing w:val="-7"/>
        </w:rPr>
        <w:t> </w:t>
      </w:r>
      <w:r>
        <w:rPr/>
        <w:t>from</w:t>
      </w:r>
      <w:r>
        <w:rPr>
          <w:spacing w:val="-8"/>
        </w:rPr>
        <w:t> </w:t>
      </w:r>
      <w:r>
        <w:rPr/>
        <w:t>this contract</w:t>
      </w:r>
      <w:r>
        <w:rPr>
          <w:spacing w:val="-10"/>
        </w:rPr>
        <w:t> </w:t>
      </w:r>
      <w:r>
        <w:rPr/>
        <w:t>shall</w:t>
      </w:r>
      <w:r>
        <w:rPr>
          <w:spacing w:val="-10"/>
        </w:rPr>
        <w:t> </w:t>
      </w:r>
      <w:r>
        <w:rPr/>
        <w:t>be</w:t>
      </w:r>
      <w:r>
        <w:rPr>
          <w:spacing w:val="-12"/>
        </w:rPr>
        <w:t> </w:t>
      </w:r>
      <w:r>
        <w:rPr/>
        <w:t>exclusively</w:t>
      </w:r>
      <w:r>
        <w:rPr>
          <w:spacing w:val="-10"/>
        </w:rPr>
        <w:t> </w:t>
      </w:r>
      <w:r>
        <w:rPr/>
        <w:t>in</w:t>
      </w:r>
      <w:r>
        <w:rPr>
          <w:spacing w:val="-10"/>
        </w:rPr>
        <w:t> </w:t>
      </w:r>
      <w:r>
        <w:rPr/>
        <w:t>the</w:t>
      </w:r>
      <w:r>
        <w:rPr>
          <w:spacing w:val="-10"/>
        </w:rPr>
        <w:t> </w:t>
      </w:r>
      <w:r>
        <w:rPr/>
        <w:t>state</w:t>
      </w:r>
      <w:r>
        <w:rPr>
          <w:spacing w:val="-9"/>
        </w:rPr>
        <w:t> </w:t>
      </w:r>
      <w:r>
        <w:rPr/>
        <w:t>or</w:t>
      </w:r>
      <w:r>
        <w:rPr>
          <w:spacing w:val="-12"/>
        </w:rPr>
        <w:t> </w:t>
      </w:r>
      <w:r>
        <w:rPr/>
        <w:t>federal</w:t>
      </w:r>
      <w:r>
        <w:rPr>
          <w:spacing w:val="-13"/>
        </w:rPr>
        <w:t> </w:t>
      </w:r>
      <w:r>
        <w:rPr/>
        <w:t>courts</w:t>
      </w:r>
      <w:r>
        <w:rPr>
          <w:spacing w:val="-10"/>
        </w:rPr>
        <w:t> </w:t>
      </w:r>
      <w:r>
        <w:rPr/>
        <w:t>located</w:t>
      </w:r>
      <w:r>
        <w:rPr>
          <w:spacing w:val="-9"/>
        </w:rPr>
        <w:t> </w:t>
      </w:r>
      <w:r>
        <w:rPr/>
        <w:t>in</w:t>
      </w:r>
      <w:r>
        <w:rPr>
          <w:spacing w:val="-11"/>
        </w:rPr>
        <w:t> </w:t>
      </w:r>
      <w:r>
        <w:rPr/>
        <w:t>San</w:t>
      </w:r>
      <w:r>
        <w:rPr>
          <w:spacing w:val="-9"/>
        </w:rPr>
        <w:t> </w:t>
      </w:r>
      <w:r>
        <w:rPr/>
        <w:t>Diego</w:t>
      </w:r>
      <w:r>
        <w:rPr>
          <w:spacing w:val="-9"/>
        </w:rPr>
        <w:t> </w:t>
      </w:r>
      <w:r>
        <w:rPr/>
        <w:t>County,</w:t>
      </w:r>
      <w:r>
        <w:rPr>
          <w:spacing w:val="-9"/>
        </w:rPr>
        <w:t> </w:t>
      </w:r>
      <w:r>
        <w:rPr/>
        <w:t>California.</w:t>
      </w:r>
    </w:p>
    <w:p>
      <w:pPr>
        <w:pStyle w:val="BodyText"/>
        <w:spacing w:before="10"/>
        <w:rPr>
          <w:sz w:val="21"/>
        </w:rPr>
      </w:pPr>
    </w:p>
    <w:p>
      <w:pPr>
        <w:pStyle w:val="Heading4"/>
        <w:numPr>
          <w:ilvl w:val="0"/>
          <w:numId w:val="4"/>
        </w:numPr>
        <w:tabs>
          <w:tab w:pos="480" w:val="left" w:leader="none"/>
        </w:tabs>
        <w:spacing w:line="252" w:lineRule="exact" w:before="1" w:after="0"/>
        <w:ind w:left="480" w:right="0" w:hanging="360"/>
        <w:jc w:val="both"/>
      </w:pPr>
      <w:r>
        <w:rPr/>
        <w:t>Right to Reject</w:t>
      </w:r>
      <w:r>
        <w:rPr>
          <w:spacing w:val="-3"/>
        </w:rPr>
        <w:t> </w:t>
      </w:r>
      <w:r>
        <w:rPr/>
        <w:t>Proposal</w:t>
      </w:r>
    </w:p>
    <w:p>
      <w:pPr>
        <w:pStyle w:val="BodyText"/>
        <w:ind w:left="480" w:right="482"/>
        <w:jc w:val="both"/>
      </w:pPr>
      <w:r>
        <w:rPr/>
        <w:t>The City reserves the right to reject any or all proposals, to waive any non-material irregularities or information in any proposal, and to accept or reject any items or combination of items. The City is not obligated to explain any deficiencies in their proposal, nor accept requests for justification from TPAs not selected. All proposals submitted become property of the City.</w:t>
      </w:r>
    </w:p>
    <w:p>
      <w:pPr>
        <w:pStyle w:val="BodyText"/>
        <w:spacing w:before="10"/>
        <w:rPr>
          <w:sz w:val="21"/>
        </w:rPr>
      </w:pPr>
    </w:p>
    <w:p>
      <w:pPr>
        <w:pStyle w:val="Heading4"/>
        <w:numPr>
          <w:ilvl w:val="0"/>
          <w:numId w:val="4"/>
        </w:numPr>
        <w:tabs>
          <w:tab w:pos="480" w:val="left" w:leader="none"/>
        </w:tabs>
        <w:spacing w:line="240" w:lineRule="auto" w:before="1" w:after="0"/>
        <w:ind w:left="480" w:right="0" w:hanging="360"/>
        <w:jc w:val="both"/>
      </w:pPr>
      <w:r>
        <w:rPr/>
        <w:t>Right to Conduct Personal</w:t>
      </w:r>
      <w:r>
        <w:rPr>
          <w:spacing w:val="-3"/>
        </w:rPr>
        <w:t> </w:t>
      </w:r>
      <w:r>
        <w:rPr/>
        <w:t>Interviews</w:t>
      </w:r>
    </w:p>
    <w:p>
      <w:pPr>
        <w:pStyle w:val="BodyText"/>
        <w:spacing w:before="1"/>
        <w:ind w:left="480" w:right="484"/>
        <w:jc w:val="both"/>
      </w:pPr>
      <w:r>
        <w:rPr/>
        <w:t>The City reserves the right to conduct personal interviews or require oral presentations of any or all TPAs prior to selection.</w:t>
      </w:r>
    </w:p>
    <w:p>
      <w:pPr>
        <w:pStyle w:val="BodyText"/>
        <w:spacing w:before="11"/>
        <w:rPr>
          <w:sz w:val="21"/>
        </w:rPr>
      </w:pPr>
    </w:p>
    <w:p>
      <w:pPr>
        <w:pStyle w:val="Heading4"/>
        <w:numPr>
          <w:ilvl w:val="0"/>
          <w:numId w:val="4"/>
        </w:numPr>
        <w:tabs>
          <w:tab w:pos="480" w:val="left" w:leader="none"/>
        </w:tabs>
        <w:spacing w:line="252" w:lineRule="exact" w:before="0" w:after="0"/>
        <w:ind w:left="480" w:right="0" w:hanging="360"/>
        <w:jc w:val="both"/>
      </w:pPr>
      <w:r>
        <w:rPr/>
        <w:t>Right to Request Additional</w:t>
      </w:r>
      <w:r>
        <w:rPr>
          <w:spacing w:val="2"/>
        </w:rPr>
        <w:t> </w:t>
      </w:r>
      <w:r>
        <w:rPr/>
        <w:t>Information</w:t>
      </w:r>
    </w:p>
    <w:p>
      <w:pPr>
        <w:pStyle w:val="BodyText"/>
        <w:ind w:left="480" w:right="483"/>
        <w:jc w:val="both"/>
      </w:pPr>
      <w:r>
        <w:rPr/>
        <w:t>The TPA shall furnish additional information as the City may reasonably require. The City reserves the right to make investigation of the qualifications of the TPA as it deems appropriate.</w:t>
      </w:r>
    </w:p>
    <w:p>
      <w:pPr>
        <w:pStyle w:val="BodyText"/>
        <w:spacing w:before="1"/>
      </w:pPr>
    </w:p>
    <w:p>
      <w:pPr>
        <w:pStyle w:val="Heading4"/>
        <w:numPr>
          <w:ilvl w:val="0"/>
          <w:numId w:val="4"/>
        </w:numPr>
        <w:tabs>
          <w:tab w:pos="480" w:val="left" w:leader="none"/>
        </w:tabs>
        <w:spacing w:line="252" w:lineRule="exact" w:before="0" w:after="0"/>
        <w:ind w:left="480" w:right="0" w:hanging="360"/>
        <w:jc w:val="both"/>
      </w:pPr>
      <w:r>
        <w:rPr/>
        <w:t>Right to Determine Financial Responsibility and</w:t>
      </w:r>
      <w:r>
        <w:rPr>
          <w:spacing w:val="-7"/>
        </w:rPr>
        <w:t> </w:t>
      </w:r>
      <w:r>
        <w:rPr/>
        <w:t>Viability</w:t>
      </w:r>
    </w:p>
    <w:p>
      <w:pPr>
        <w:pStyle w:val="BodyText"/>
        <w:ind w:left="480" w:right="483"/>
        <w:jc w:val="both"/>
      </w:pPr>
      <w:r>
        <w:rPr/>
        <w:t>The City reserves the right to request the TPA information pertaining to the financial stability of the</w:t>
      </w:r>
      <w:r>
        <w:rPr>
          <w:spacing w:val="-6"/>
        </w:rPr>
        <w:t> </w:t>
      </w:r>
      <w:r>
        <w:rPr/>
        <w:t>TPA</w:t>
      </w:r>
      <w:r>
        <w:rPr>
          <w:spacing w:val="-3"/>
        </w:rPr>
        <w:t> </w:t>
      </w:r>
      <w:r>
        <w:rPr/>
        <w:t>sufficiently</w:t>
      </w:r>
      <w:r>
        <w:rPr>
          <w:spacing w:val="-5"/>
        </w:rPr>
        <w:t> </w:t>
      </w:r>
      <w:r>
        <w:rPr/>
        <w:t>comprehensive</w:t>
      </w:r>
      <w:r>
        <w:rPr>
          <w:spacing w:val="-4"/>
        </w:rPr>
        <w:t> </w:t>
      </w:r>
      <w:r>
        <w:rPr/>
        <w:t>to</w:t>
      </w:r>
      <w:r>
        <w:rPr>
          <w:spacing w:val="-4"/>
        </w:rPr>
        <w:t> </w:t>
      </w:r>
      <w:r>
        <w:rPr/>
        <w:t>allow</w:t>
      </w:r>
      <w:r>
        <w:rPr>
          <w:spacing w:val="-6"/>
        </w:rPr>
        <w:t> </w:t>
      </w:r>
      <w:r>
        <w:rPr/>
        <w:t>an</w:t>
      </w:r>
      <w:r>
        <w:rPr>
          <w:spacing w:val="-3"/>
        </w:rPr>
        <w:t> </w:t>
      </w:r>
      <w:r>
        <w:rPr/>
        <w:t>appraisal</w:t>
      </w:r>
      <w:r>
        <w:rPr>
          <w:spacing w:val="-4"/>
        </w:rPr>
        <w:t> </w:t>
      </w:r>
      <w:r>
        <w:rPr/>
        <w:t>of</w:t>
      </w:r>
      <w:r>
        <w:rPr>
          <w:spacing w:val="2"/>
        </w:rPr>
        <w:t> </w:t>
      </w:r>
      <w:r>
        <w:rPr/>
        <w:t>the</w:t>
      </w:r>
      <w:r>
        <w:rPr>
          <w:spacing w:val="-7"/>
        </w:rPr>
        <w:t> </w:t>
      </w:r>
      <w:r>
        <w:rPr/>
        <w:t>TPA’s</w:t>
      </w:r>
      <w:r>
        <w:rPr>
          <w:spacing w:val="-3"/>
        </w:rPr>
        <w:t> </w:t>
      </w:r>
      <w:r>
        <w:rPr/>
        <w:t>current</w:t>
      </w:r>
      <w:r>
        <w:rPr>
          <w:spacing w:val="-4"/>
        </w:rPr>
        <w:t> </w:t>
      </w:r>
      <w:r>
        <w:rPr/>
        <w:t>financial</w:t>
      </w:r>
      <w:r>
        <w:rPr>
          <w:spacing w:val="-3"/>
        </w:rPr>
        <w:t> </w:t>
      </w:r>
      <w:r>
        <w:rPr/>
        <w:t>condition.</w:t>
      </w:r>
    </w:p>
    <w:p>
      <w:pPr>
        <w:pStyle w:val="BodyText"/>
        <w:spacing w:before="11"/>
        <w:rPr>
          <w:sz w:val="21"/>
        </w:rPr>
      </w:pPr>
    </w:p>
    <w:p>
      <w:pPr>
        <w:pStyle w:val="Heading4"/>
        <w:numPr>
          <w:ilvl w:val="0"/>
          <w:numId w:val="4"/>
        </w:numPr>
        <w:tabs>
          <w:tab w:pos="480" w:val="left" w:leader="none"/>
        </w:tabs>
        <w:spacing w:line="240" w:lineRule="auto" w:before="0" w:after="0"/>
        <w:ind w:left="480" w:right="0" w:hanging="360"/>
        <w:jc w:val="both"/>
      </w:pPr>
      <w:r>
        <w:rPr/>
        <w:t>Understanding the Services to be</w:t>
      </w:r>
      <w:r>
        <w:rPr>
          <w:spacing w:val="-9"/>
        </w:rPr>
        <w:t> </w:t>
      </w:r>
      <w:r>
        <w:rPr/>
        <w:t>Performed</w:t>
      </w:r>
    </w:p>
    <w:p>
      <w:pPr>
        <w:pStyle w:val="BodyText"/>
        <w:spacing w:before="1"/>
        <w:ind w:left="480" w:right="482"/>
        <w:jc w:val="both"/>
      </w:pPr>
      <w:r>
        <w:rPr/>
        <w:t>By submitting a proposal, the TPA certifies that he/she has fully read and understands the Request</w:t>
      </w:r>
      <w:r>
        <w:rPr>
          <w:spacing w:val="-11"/>
        </w:rPr>
        <w:t> </w:t>
      </w:r>
      <w:r>
        <w:rPr/>
        <w:t>for</w:t>
      </w:r>
      <w:r>
        <w:rPr>
          <w:spacing w:val="-6"/>
        </w:rPr>
        <w:t> </w:t>
      </w:r>
      <w:r>
        <w:rPr/>
        <w:t>Proposal</w:t>
      </w:r>
      <w:r>
        <w:rPr>
          <w:spacing w:val="-9"/>
        </w:rPr>
        <w:t> </w:t>
      </w:r>
      <w:r>
        <w:rPr/>
        <w:t>and</w:t>
      </w:r>
      <w:r>
        <w:rPr>
          <w:spacing w:val="-9"/>
        </w:rPr>
        <w:t> </w:t>
      </w:r>
      <w:r>
        <w:rPr/>
        <w:t>has</w:t>
      </w:r>
      <w:r>
        <w:rPr>
          <w:spacing w:val="-10"/>
        </w:rPr>
        <w:t> </w:t>
      </w:r>
      <w:r>
        <w:rPr/>
        <w:t>full</w:t>
      </w:r>
      <w:r>
        <w:rPr>
          <w:spacing w:val="-12"/>
        </w:rPr>
        <w:t> </w:t>
      </w:r>
      <w:r>
        <w:rPr/>
        <w:t>knowledge</w:t>
      </w:r>
      <w:r>
        <w:rPr>
          <w:spacing w:val="-9"/>
        </w:rPr>
        <w:t> </w:t>
      </w:r>
      <w:r>
        <w:rPr/>
        <w:t>of</w:t>
      </w:r>
      <w:r>
        <w:rPr>
          <w:spacing w:val="-3"/>
        </w:rPr>
        <w:t> </w:t>
      </w:r>
      <w:r>
        <w:rPr/>
        <w:t>the</w:t>
      </w:r>
      <w:r>
        <w:rPr>
          <w:spacing w:val="-10"/>
        </w:rPr>
        <w:t> </w:t>
      </w:r>
      <w:r>
        <w:rPr/>
        <w:t>scope,</w:t>
      </w:r>
      <w:r>
        <w:rPr>
          <w:spacing w:val="-8"/>
        </w:rPr>
        <w:t> </w:t>
      </w:r>
      <w:r>
        <w:rPr/>
        <w:t>nature,</w:t>
      </w:r>
      <w:r>
        <w:rPr>
          <w:spacing w:val="-8"/>
        </w:rPr>
        <w:t> </w:t>
      </w:r>
      <w:r>
        <w:rPr/>
        <w:t>quantity,</w:t>
      </w:r>
      <w:r>
        <w:rPr>
          <w:spacing w:val="-9"/>
        </w:rPr>
        <w:t> </w:t>
      </w:r>
      <w:r>
        <w:rPr/>
        <w:t>and</w:t>
      </w:r>
      <w:r>
        <w:rPr>
          <w:spacing w:val="-8"/>
        </w:rPr>
        <w:t> </w:t>
      </w:r>
      <w:r>
        <w:rPr/>
        <w:t>quality</w:t>
      </w:r>
      <w:r>
        <w:rPr>
          <w:spacing w:val="-10"/>
        </w:rPr>
        <w:t> </w:t>
      </w:r>
      <w:r>
        <w:rPr/>
        <w:t>of</w:t>
      </w:r>
      <w:r>
        <w:rPr>
          <w:spacing w:val="-4"/>
        </w:rPr>
        <w:t> </w:t>
      </w:r>
      <w:r>
        <w:rPr/>
        <w:t>service to be performed. TPA understands that he/she will enter into a written contract and furnish the item(s) or complete the work in the time specified, and strictly confirm to the City of Escondido specifications.</w:t>
      </w:r>
    </w:p>
    <w:p>
      <w:pPr>
        <w:pStyle w:val="BodyText"/>
        <w:spacing w:before="10"/>
        <w:rPr>
          <w:sz w:val="21"/>
        </w:rPr>
      </w:pPr>
    </w:p>
    <w:p>
      <w:pPr>
        <w:pStyle w:val="Heading4"/>
        <w:numPr>
          <w:ilvl w:val="0"/>
          <w:numId w:val="4"/>
        </w:numPr>
        <w:tabs>
          <w:tab w:pos="480" w:val="left" w:leader="none"/>
        </w:tabs>
        <w:spacing w:line="252" w:lineRule="exact" w:before="1" w:after="0"/>
        <w:ind w:left="480" w:right="0" w:hanging="360"/>
        <w:jc w:val="both"/>
      </w:pPr>
      <w:r>
        <w:rPr/>
        <w:t>Award of Contract</w:t>
      </w:r>
    </w:p>
    <w:p>
      <w:pPr>
        <w:pStyle w:val="BodyText"/>
        <w:ind w:left="480" w:right="481"/>
        <w:jc w:val="both"/>
      </w:pPr>
      <w:r>
        <w:rPr/>
        <w:t>Proposals</w:t>
      </w:r>
      <w:r>
        <w:rPr>
          <w:spacing w:val="-13"/>
        </w:rPr>
        <w:t> </w:t>
      </w:r>
      <w:r>
        <w:rPr/>
        <w:t>will</w:t>
      </w:r>
      <w:r>
        <w:rPr>
          <w:spacing w:val="-14"/>
        </w:rPr>
        <w:t> </w:t>
      </w:r>
      <w:r>
        <w:rPr/>
        <w:t>be</w:t>
      </w:r>
      <w:r>
        <w:rPr>
          <w:spacing w:val="-12"/>
        </w:rPr>
        <w:t> </w:t>
      </w:r>
      <w:r>
        <w:rPr/>
        <w:t>analyzed</w:t>
      </w:r>
      <w:r>
        <w:rPr>
          <w:spacing w:val="-12"/>
        </w:rPr>
        <w:t> </w:t>
      </w:r>
      <w:r>
        <w:rPr/>
        <w:t>and</w:t>
      </w:r>
      <w:r>
        <w:rPr>
          <w:spacing w:val="-14"/>
        </w:rPr>
        <w:t> </w:t>
      </w:r>
      <w:r>
        <w:rPr/>
        <w:t>the</w:t>
      </w:r>
      <w:r>
        <w:rPr>
          <w:spacing w:val="-12"/>
        </w:rPr>
        <w:t> </w:t>
      </w:r>
      <w:r>
        <w:rPr/>
        <w:t>award</w:t>
      </w:r>
      <w:r>
        <w:rPr>
          <w:spacing w:val="-13"/>
        </w:rPr>
        <w:t> </w:t>
      </w:r>
      <w:r>
        <w:rPr/>
        <w:t>made</w:t>
      </w:r>
      <w:r>
        <w:rPr>
          <w:spacing w:val="-14"/>
        </w:rPr>
        <w:t> </w:t>
      </w:r>
      <w:r>
        <w:rPr/>
        <w:t>to</w:t>
      </w:r>
      <w:r>
        <w:rPr>
          <w:spacing w:val="-15"/>
        </w:rPr>
        <w:t> </w:t>
      </w:r>
      <w:r>
        <w:rPr/>
        <w:t>the</w:t>
      </w:r>
      <w:r>
        <w:rPr>
          <w:spacing w:val="-12"/>
        </w:rPr>
        <w:t> </w:t>
      </w:r>
      <w:r>
        <w:rPr/>
        <w:t>responsible</w:t>
      </w:r>
      <w:r>
        <w:rPr>
          <w:spacing w:val="-13"/>
        </w:rPr>
        <w:t> </w:t>
      </w:r>
      <w:r>
        <w:rPr/>
        <w:t>TPA</w:t>
      </w:r>
      <w:r>
        <w:rPr>
          <w:spacing w:val="-13"/>
        </w:rPr>
        <w:t> </w:t>
      </w:r>
      <w:r>
        <w:rPr/>
        <w:t>whose</w:t>
      </w:r>
      <w:r>
        <w:rPr>
          <w:spacing w:val="-13"/>
        </w:rPr>
        <w:t> </w:t>
      </w:r>
      <w:r>
        <w:rPr/>
        <w:t>proposal</w:t>
      </w:r>
      <w:r>
        <w:rPr>
          <w:spacing w:val="-12"/>
        </w:rPr>
        <w:t> </w:t>
      </w:r>
      <w:r>
        <w:rPr/>
        <w:t>conforms to the solicitation and is considered to be the most advantageous to the City, taking into consideration not just the proposal price, but also the evaluation criteria set forth in the request for proposal. If the successful TPA does not execute a contract with the City within forty-five (45) days</w:t>
      </w:r>
      <w:r>
        <w:rPr>
          <w:spacing w:val="-4"/>
        </w:rPr>
        <w:t> </w:t>
      </w:r>
      <w:r>
        <w:rPr/>
        <w:t>after</w:t>
      </w:r>
      <w:r>
        <w:rPr>
          <w:spacing w:val="-6"/>
        </w:rPr>
        <w:t> </w:t>
      </w:r>
      <w:r>
        <w:rPr/>
        <w:t>notification</w:t>
      </w:r>
      <w:r>
        <w:rPr>
          <w:spacing w:val="-5"/>
        </w:rPr>
        <w:t> </w:t>
      </w:r>
      <w:r>
        <w:rPr/>
        <w:t>of</w:t>
      </w:r>
      <w:r>
        <w:rPr>
          <w:spacing w:val="-6"/>
        </w:rPr>
        <w:t> </w:t>
      </w:r>
      <w:r>
        <w:rPr/>
        <w:t>award,</w:t>
      </w:r>
      <w:r>
        <w:rPr>
          <w:spacing w:val="-4"/>
        </w:rPr>
        <w:t> </w:t>
      </w:r>
      <w:r>
        <w:rPr/>
        <w:t>the</w:t>
      </w:r>
      <w:r>
        <w:rPr>
          <w:spacing w:val="-4"/>
        </w:rPr>
        <w:t> </w:t>
      </w:r>
      <w:r>
        <w:rPr/>
        <w:t>City</w:t>
      </w:r>
      <w:r>
        <w:rPr>
          <w:spacing w:val="-6"/>
        </w:rPr>
        <w:t> </w:t>
      </w:r>
      <w:r>
        <w:rPr/>
        <w:t>may</w:t>
      </w:r>
      <w:r>
        <w:rPr>
          <w:spacing w:val="-8"/>
        </w:rPr>
        <w:t> </w:t>
      </w:r>
      <w:r>
        <w:rPr/>
        <w:t>give</w:t>
      </w:r>
      <w:r>
        <w:rPr>
          <w:spacing w:val="-6"/>
        </w:rPr>
        <w:t> </w:t>
      </w:r>
      <w:r>
        <w:rPr/>
        <w:t>notice</w:t>
      </w:r>
      <w:r>
        <w:rPr>
          <w:spacing w:val="-5"/>
        </w:rPr>
        <w:t> </w:t>
      </w:r>
      <w:r>
        <w:rPr/>
        <w:t>to</w:t>
      </w:r>
      <w:r>
        <w:rPr>
          <w:spacing w:val="-10"/>
        </w:rPr>
        <w:t> </w:t>
      </w:r>
      <w:r>
        <w:rPr/>
        <w:t>the</w:t>
      </w:r>
      <w:r>
        <w:rPr>
          <w:spacing w:val="-8"/>
        </w:rPr>
        <w:t> </w:t>
      </w:r>
      <w:r>
        <w:rPr/>
        <w:t>successful</w:t>
      </w:r>
      <w:r>
        <w:rPr>
          <w:spacing w:val="-9"/>
        </w:rPr>
        <w:t> </w:t>
      </w:r>
      <w:r>
        <w:rPr/>
        <w:t>TPA</w:t>
      </w:r>
      <w:r>
        <w:rPr>
          <w:spacing w:val="-7"/>
        </w:rPr>
        <w:t> </w:t>
      </w:r>
      <w:r>
        <w:rPr/>
        <w:t>of</w:t>
      </w:r>
      <w:r>
        <w:rPr>
          <w:spacing w:val="-6"/>
        </w:rPr>
        <w:t> </w:t>
      </w:r>
      <w:r>
        <w:rPr/>
        <w:t>the</w:t>
      </w:r>
      <w:r>
        <w:rPr>
          <w:spacing w:val="-7"/>
        </w:rPr>
        <w:t> </w:t>
      </w:r>
      <w:r>
        <w:rPr/>
        <w:t>City's</w:t>
      </w:r>
      <w:r>
        <w:rPr>
          <w:spacing w:val="-6"/>
        </w:rPr>
        <w:t> </w:t>
      </w:r>
      <w:r>
        <w:rPr/>
        <w:t>intent to select from the remaining TPAs or to call for new proposals, whichever the City deems appropriate.</w:t>
      </w:r>
    </w:p>
    <w:p>
      <w:pPr>
        <w:pStyle w:val="BodyText"/>
        <w:spacing w:before="1"/>
      </w:pPr>
    </w:p>
    <w:p>
      <w:pPr>
        <w:pStyle w:val="Heading4"/>
        <w:numPr>
          <w:ilvl w:val="0"/>
          <w:numId w:val="4"/>
        </w:numPr>
        <w:tabs>
          <w:tab w:pos="480" w:val="left" w:leader="none"/>
        </w:tabs>
        <w:spacing w:line="252" w:lineRule="exact" w:before="0" w:after="0"/>
        <w:ind w:left="480" w:right="0" w:hanging="360"/>
        <w:jc w:val="both"/>
      </w:pPr>
      <w:r>
        <w:rPr/>
        <w:t>Service Contract</w:t>
      </w:r>
      <w:r>
        <w:rPr>
          <w:spacing w:val="-3"/>
        </w:rPr>
        <w:t> </w:t>
      </w:r>
      <w:r>
        <w:rPr/>
        <w:t>Term</w:t>
      </w:r>
    </w:p>
    <w:p>
      <w:pPr>
        <w:pStyle w:val="BodyText"/>
        <w:ind w:left="480" w:right="479"/>
        <w:jc w:val="both"/>
      </w:pPr>
      <w:r>
        <w:rPr/>
        <w:t>The</w:t>
      </w:r>
      <w:r>
        <w:rPr>
          <w:spacing w:val="-14"/>
        </w:rPr>
        <w:t> </w:t>
      </w:r>
      <w:r>
        <w:rPr/>
        <w:t>City</w:t>
      </w:r>
      <w:r>
        <w:rPr>
          <w:spacing w:val="-13"/>
        </w:rPr>
        <w:t> </w:t>
      </w:r>
      <w:r>
        <w:rPr/>
        <w:t>is</w:t>
      </w:r>
      <w:r>
        <w:rPr>
          <w:spacing w:val="-12"/>
        </w:rPr>
        <w:t> </w:t>
      </w:r>
      <w:r>
        <w:rPr/>
        <w:t>requesting</w:t>
      </w:r>
      <w:r>
        <w:rPr>
          <w:spacing w:val="-12"/>
        </w:rPr>
        <w:t> </w:t>
      </w:r>
      <w:r>
        <w:rPr/>
        <w:t>a</w:t>
      </w:r>
      <w:r>
        <w:rPr>
          <w:spacing w:val="-12"/>
        </w:rPr>
        <w:t> </w:t>
      </w:r>
      <w:r>
        <w:rPr/>
        <w:t>one</w:t>
      </w:r>
      <w:r>
        <w:rPr>
          <w:spacing w:val="-11"/>
        </w:rPr>
        <w:t> </w:t>
      </w:r>
      <w:r>
        <w:rPr/>
        <w:t>(1)</w:t>
      </w:r>
      <w:r>
        <w:rPr>
          <w:spacing w:val="-8"/>
        </w:rPr>
        <w:t> </w:t>
      </w:r>
      <w:r>
        <w:rPr/>
        <w:t>year</w:t>
      </w:r>
      <w:r>
        <w:rPr>
          <w:spacing w:val="-9"/>
        </w:rPr>
        <w:t> </w:t>
      </w:r>
      <w:r>
        <w:rPr/>
        <w:t>service</w:t>
      </w:r>
      <w:r>
        <w:rPr>
          <w:spacing w:val="-12"/>
        </w:rPr>
        <w:t> </w:t>
      </w:r>
      <w:r>
        <w:rPr/>
        <w:t>agreement</w:t>
      </w:r>
      <w:r>
        <w:rPr>
          <w:spacing w:val="-11"/>
        </w:rPr>
        <w:t> </w:t>
      </w:r>
      <w:r>
        <w:rPr/>
        <w:t>term,</w:t>
      </w:r>
      <w:r>
        <w:rPr>
          <w:spacing w:val="-12"/>
        </w:rPr>
        <w:t> </w:t>
      </w:r>
      <w:r>
        <w:rPr/>
        <w:t>to</w:t>
      </w:r>
      <w:r>
        <w:rPr>
          <w:spacing w:val="-12"/>
        </w:rPr>
        <w:t> </w:t>
      </w:r>
      <w:r>
        <w:rPr/>
        <w:t>begin</w:t>
      </w:r>
      <w:r>
        <w:rPr>
          <w:spacing w:val="-12"/>
        </w:rPr>
        <w:t> </w:t>
      </w:r>
      <w:r>
        <w:rPr/>
        <w:t>approximately</w:t>
      </w:r>
      <w:r>
        <w:rPr>
          <w:spacing w:val="-12"/>
        </w:rPr>
        <w:t> </w:t>
      </w:r>
      <w:r>
        <w:rPr/>
        <w:t>July</w:t>
      </w:r>
      <w:r>
        <w:rPr>
          <w:spacing w:val="-13"/>
        </w:rPr>
        <w:t> </w:t>
      </w:r>
      <w:r>
        <w:rPr/>
        <w:t>1,</w:t>
      </w:r>
      <w:r>
        <w:rPr>
          <w:spacing w:val="-9"/>
        </w:rPr>
        <w:t> </w:t>
      </w:r>
      <w:r>
        <w:rPr/>
        <w:t>2021 through June 30, 2022, with the City’s option to renew the agreement for four (4) additional one- year terms. The agreement shall continue until the end of the term, unless the TPA is notified in writing</w:t>
      </w:r>
      <w:r>
        <w:rPr>
          <w:spacing w:val="-11"/>
        </w:rPr>
        <w:t> </w:t>
      </w:r>
      <w:r>
        <w:rPr/>
        <w:t>by</w:t>
      </w:r>
      <w:r>
        <w:rPr>
          <w:spacing w:val="-16"/>
        </w:rPr>
        <w:t> </w:t>
      </w:r>
      <w:r>
        <w:rPr/>
        <w:t>the</w:t>
      </w:r>
      <w:r>
        <w:rPr>
          <w:spacing w:val="-14"/>
        </w:rPr>
        <w:t> </w:t>
      </w:r>
      <w:r>
        <w:rPr/>
        <w:t>Director</w:t>
      </w:r>
      <w:r>
        <w:rPr>
          <w:spacing w:val="-15"/>
        </w:rPr>
        <w:t> </w:t>
      </w:r>
      <w:r>
        <w:rPr/>
        <w:t>of</w:t>
      </w:r>
      <w:r>
        <w:rPr>
          <w:spacing w:val="-16"/>
        </w:rPr>
        <w:t> </w:t>
      </w:r>
      <w:r>
        <w:rPr/>
        <w:t>Human</w:t>
      </w:r>
      <w:r>
        <w:rPr>
          <w:spacing w:val="-14"/>
        </w:rPr>
        <w:t> </w:t>
      </w:r>
      <w:r>
        <w:rPr/>
        <w:t>Resources</w:t>
      </w:r>
      <w:r>
        <w:rPr>
          <w:spacing w:val="-16"/>
        </w:rPr>
        <w:t> </w:t>
      </w:r>
      <w:r>
        <w:rPr/>
        <w:t>sixty</w:t>
      </w:r>
      <w:r>
        <w:rPr>
          <w:spacing w:val="-15"/>
        </w:rPr>
        <w:t> </w:t>
      </w:r>
      <w:r>
        <w:rPr/>
        <w:t>(60)</w:t>
      </w:r>
      <w:r>
        <w:rPr>
          <w:spacing w:val="-12"/>
        </w:rPr>
        <w:t> </w:t>
      </w:r>
      <w:r>
        <w:rPr/>
        <w:t>days</w:t>
      </w:r>
      <w:r>
        <w:rPr>
          <w:spacing w:val="-13"/>
        </w:rPr>
        <w:t> </w:t>
      </w:r>
      <w:r>
        <w:rPr/>
        <w:t>prior</w:t>
      </w:r>
      <w:r>
        <w:rPr>
          <w:spacing w:val="-16"/>
        </w:rPr>
        <w:t> </w:t>
      </w:r>
      <w:r>
        <w:rPr/>
        <w:t>of</w:t>
      </w:r>
      <w:r>
        <w:rPr>
          <w:spacing w:val="-15"/>
        </w:rPr>
        <w:t> </w:t>
      </w:r>
      <w:r>
        <w:rPr/>
        <w:t>the</w:t>
      </w:r>
      <w:r>
        <w:rPr>
          <w:spacing w:val="-14"/>
        </w:rPr>
        <w:t> </w:t>
      </w:r>
      <w:r>
        <w:rPr/>
        <w:t>City’s</w:t>
      </w:r>
      <w:r>
        <w:rPr>
          <w:spacing w:val="-13"/>
        </w:rPr>
        <w:t> </w:t>
      </w:r>
      <w:r>
        <w:rPr/>
        <w:t>intention</w:t>
      </w:r>
      <w:r>
        <w:rPr>
          <w:spacing w:val="-16"/>
        </w:rPr>
        <w:t> </w:t>
      </w:r>
      <w:r>
        <w:rPr/>
        <w:t>to</w:t>
      </w:r>
      <w:r>
        <w:rPr>
          <w:spacing w:val="-15"/>
        </w:rPr>
        <w:t> </w:t>
      </w:r>
      <w:r>
        <w:rPr/>
        <w:t>terminate</w:t>
      </w:r>
    </w:p>
    <w:p>
      <w:pPr>
        <w:spacing w:after="0"/>
        <w:jc w:val="both"/>
        <w:sectPr>
          <w:pgSz w:w="12240" w:h="15840"/>
          <w:pgMar w:header="0" w:footer="1248" w:top="1000" w:bottom="1440" w:left="960" w:right="960"/>
        </w:sectPr>
      </w:pPr>
    </w:p>
    <w:p>
      <w:pPr>
        <w:pStyle w:val="BodyText"/>
        <w:spacing w:before="71"/>
        <w:ind w:left="480" w:right="481"/>
        <w:jc w:val="both"/>
      </w:pPr>
      <w:r>
        <w:rPr/>
        <w:pict>
          <v:group style="position:absolute;margin-left:26.160002pt;margin-top:26.160002pt;width:561.85pt;height:741.85pt;mso-position-horizontal-relative:page;mso-position-vertical-relative:page;z-index:-253969408" coordorigin="523,523" coordsize="11237,14837">
            <v:line style="position:absolute" from="523,545" to="11674,545" stroked="true" strokeweight="2.159998pt" strokecolor="#000000">
              <v:stroke dashstyle="solid"/>
            </v:line>
            <v:rect style="position:absolute;left:11673;top:523;width:44;height:44" filled="true" fillcolor="#000000" stroked="false">
              <v:fill type="solid"/>
            </v:rect>
            <v:line style="position:absolute" from="545,566" to="545,15317" stroked="true" strokeweight="2.159998pt" strokecolor="#000000">
              <v:stroke dashstyle="solid"/>
            </v:line>
            <v:line style="position:absolute" from="11717,566" to="11717,15274" stroked="true" strokeweight="4.320008pt" strokecolor="#000000">
              <v:stroke dashstyle="solid"/>
            </v:line>
            <v:line style="position:absolute" from="566,15317" to="11674,15317" stroked="true" strokeweight="4.320008pt" strokecolor="#000000">
              <v:stroke dashstyle="solid"/>
            </v:line>
            <v:shape style="position:absolute;left:11673;top:15273;width:87;height:87" coordorigin="11674,15274" coordsize="87,87" path="m11760,15274l11717,15274,11674,15274,11674,15317,11674,15360,11717,15360,11760,15360,11760,15317,11760,15274e" filled="true" fillcolor="#000000" stroked="false">
              <v:path arrowok="t"/>
              <v:fill type="solid"/>
            </v:shape>
            <w10:wrap type="none"/>
          </v:group>
        </w:pict>
      </w:r>
      <w:r>
        <w:rPr/>
        <w:t>the agreement. Termination of the agreement by the City can occur at any time during the agreement period at the City’s discretion.</w:t>
      </w:r>
    </w:p>
    <w:p>
      <w:pPr>
        <w:pStyle w:val="BodyText"/>
        <w:spacing w:before="11"/>
        <w:rPr>
          <w:sz w:val="21"/>
        </w:rPr>
      </w:pPr>
    </w:p>
    <w:p>
      <w:pPr>
        <w:pStyle w:val="Heading4"/>
        <w:numPr>
          <w:ilvl w:val="0"/>
          <w:numId w:val="4"/>
        </w:numPr>
        <w:tabs>
          <w:tab w:pos="480" w:val="left" w:leader="none"/>
        </w:tabs>
        <w:spacing w:line="252" w:lineRule="exact" w:before="0" w:after="0"/>
        <w:ind w:left="480" w:right="0" w:hanging="360"/>
        <w:jc w:val="both"/>
      </w:pPr>
      <w:r>
        <w:rPr/>
        <w:t>Funding of</w:t>
      </w:r>
      <w:r>
        <w:rPr>
          <w:spacing w:val="1"/>
        </w:rPr>
        <w:t> </w:t>
      </w:r>
      <w:r>
        <w:rPr/>
        <w:t>Agreement</w:t>
      </w:r>
    </w:p>
    <w:p>
      <w:pPr>
        <w:pStyle w:val="BodyText"/>
        <w:ind w:left="480" w:right="480"/>
        <w:jc w:val="both"/>
      </w:pPr>
      <w:r>
        <w:rPr/>
        <w:t>City’s funding of this Agreement shall be on a fiscal year basis and is subject to annual appropriations. TPA acknowledges that the City is a municipal corporation, is precluded by the State Constitution and other laws from entering into obligations that financially bind future governing bodies, and that, therefore, nothing in this Agreement shall constitute an obligation of future legislative bodies of the City or State to appropriate funds for purposes of this Agreement. Accordingly, the parties agree that the terms within this Agreement are contingent upon appropriation of funds.</w:t>
      </w:r>
    </w:p>
    <w:p>
      <w:pPr>
        <w:pStyle w:val="BodyText"/>
        <w:spacing w:before="10"/>
        <w:rPr>
          <w:sz w:val="21"/>
        </w:rPr>
      </w:pPr>
    </w:p>
    <w:p>
      <w:pPr>
        <w:pStyle w:val="Heading4"/>
        <w:numPr>
          <w:ilvl w:val="0"/>
          <w:numId w:val="4"/>
        </w:numPr>
        <w:tabs>
          <w:tab w:pos="480" w:val="left" w:leader="none"/>
        </w:tabs>
        <w:spacing w:line="240" w:lineRule="auto" w:before="0" w:after="0"/>
        <w:ind w:left="480" w:right="0" w:hanging="360"/>
        <w:jc w:val="both"/>
      </w:pPr>
      <w:r>
        <w:rPr/>
        <w:t>City Provisions to</w:t>
      </w:r>
      <w:r>
        <w:rPr>
          <w:spacing w:val="-6"/>
        </w:rPr>
        <w:t> </w:t>
      </w:r>
      <w:r>
        <w:rPr/>
        <w:t>Prevail</w:t>
      </w:r>
    </w:p>
    <w:p>
      <w:pPr>
        <w:pStyle w:val="BodyText"/>
        <w:spacing w:before="2"/>
        <w:ind w:left="480" w:right="482"/>
        <w:jc w:val="both"/>
      </w:pPr>
      <w:r>
        <w:rPr/>
        <w:t>The City’s standard Terms and Conditions shall govern any contract award. Any standard</w:t>
      </w:r>
      <w:r>
        <w:rPr>
          <w:spacing w:val="-33"/>
        </w:rPr>
        <w:t> </w:t>
      </w:r>
      <w:r>
        <w:rPr/>
        <w:t>terms and conditions of the TPA shall not be acceptable to the City unless expressly agreed to by the City by separate document. The City reserves the right to reject a proposal containing unacceptable</w:t>
      </w:r>
      <w:r>
        <w:rPr>
          <w:spacing w:val="-10"/>
        </w:rPr>
        <w:t> </w:t>
      </w:r>
      <w:r>
        <w:rPr/>
        <w:t>conditions</w:t>
      </w:r>
      <w:r>
        <w:rPr>
          <w:spacing w:val="-11"/>
        </w:rPr>
        <w:t> </w:t>
      </w:r>
      <w:r>
        <w:rPr/>
        <w:t>as</w:t>
      </w:r>
      <w:r>
        <w:rPr>
          <w:spacing w:val="-9"/>
        </w:rPr>
        <w:t> </w:t>
      </w:r>
      <w:r>
        <w:rPr/>
        <w:t>non-responsive</w:t>
      </w:r>
      <w:r>
        <w:rPr>
          <w:spacing w:val="-10"/>
        </w:rPr>
        <w:t> </w:t>
      </w:r>
      <w:r>
        <w:rPr/>
        <w:t>as</w:t>
      </w:r>
      <w:r>
        <w:rPr>
          <w:spacing w:val="-9"/>
        </w:rPr>
        <w:t> </w:t>
      </w:r>
      <w:r>
        <w:rPr/>
        <w:t>a</w:t>
      </w:r>
      <w:r>
        <w:rPr>
          <w:spacing w:val="-8"/>
        </w:rPr>
        <w:t> </w:t>
      </w:r>
      <w:r>
        <w:rPr/>
        <w:t>condition</w:t>
      </w:r>
      <w:r>
        <w:rPr>
          <w:spacing w:val="-9"/>
        </w:rPr>
        <w:t> </w:t>
      </w:r>
      <w:r>
        <w:rPr/>
        <w:t>of</w:t>
      </w:r>
      <w:r>
        <w:rPr>
          <w:spacing w:val="-6"/>
        </w:rPr>
        <w:t> </w:t>
      </w:r>
      <w:r>
        <w:rPr/>
        <w:t>evaluation</w:t>
      </w:r>
      <w:r>
        <w:rPr>
          <w:spacing w:val="-10"/>
        </w:rPr>
        <w:t> </w:t>
      </w:r>
      <w:r>
        <w:rPr/>
        <w:t>or</w:t>
      </w:r>
      <w:r>
        <w:rPr>
          <w:spacing w:val="-9"/>
        </w:rPr>
        <w:t> </w:t>
      </w:r>
      <w:r>
        <w:rPr/>
        <w:t>award</w:t>
      </w:r>
      <w:r>
        <w:rPr>
          <w:spacing w:val="-10"/>
        </w:rPr>
        <w:t> </w:t>
      </w:r>
      <w:r>
        <w:rPr/>
        <w:t>of</w:t>
      </w:r>
      <w:r>
        <w:rPr>
          <w:spacing w:val="-6"/>
        </w:rPr>
        <w:t> </w:t>
      </w:r>
      <w:r>
        <w:rPr/>
        <w:t>the</w:t>
      </w:r>
      <w:r>
        <w:rPr>
          <w:spacing w:val="-7"/>
        </w:rPr>
        <w:t> </w:t>
      </w:r>
      <w:r>
        <w:rPr/>
        <w:t>proposal.</w:t>
      </w:r>
    </w:p>
    <w:p>
      <w:pPr>
        <w:pStyle w:val="BodyText"/>
        <w:spacing w:before="11"/>
        <w:rPr>
          <w:sz w:val="21"/>
        </w:rPr>
      </w:pPr>
    </w:p>
    <w:p>
      <w:pPr>
        <w:pStyle w:val="Heading4"/>
        <w:numPr>
          <w:ilvl w:val="0"/>
          <w:numId w:val="4"/>
        </w:numPr>
        <w:tabs>
          <w:tab w:pos="480" w:val="left" w:leader="none"/>
        </w:tabs>
        <w:spacing w:line="252" w:lineRule="exact" w:before="0" w:after="0"/>
        <w:ind w:left="480" w:right="0" w:hanging="360"/>
        <w:jc w:val="both"/>
      </w:pPr>
      <w:r>
        <w:rPr/>
        <w:t>Assignment of</w:t>
      </w:r>
      <w:r>
        <w:rPr>
          <w:spacing w:val="-2"/>
        </w:rPr>
        <w:t> </w:t>
      </w:r>
      <w:r>
        <w:rPr/>
        <w:t>Contract</w:t>
      </w:r>
    </w:p>
    <w:p>
      <w:pPr>
        <w:pStyle w:val="BodyText"/>
        <w:ind w:left="480" w:right="480"/>
        <w:jc w:val="both"/>
      </w:pPr>
      <w:r>
        <w:rPr/>
        <w:t>The successful TPAs shall not assign or transfer by operation of law or otherwise any or all of its rights,</w:t>
      </w:r>
      <w:r>
        <w:rPr>
          <w:spacing w:val="-9"/>
        </w:rPr>
        <w:t> </w:t>
      </w:r>
      <w:r>
        <w:rPr/>
        <w:t>burdens,</w:t>
      </w:r>
      <w:r>
        <w:rPr>
          <w:spacing w:val="-6"/>
        </w:rPr>
        <w:t> </w:t>
      </w:r>
      <w:r>
        <w:rPr/>
        <w:t>duties</w:t>
      </w:r>
      <w:r>
        <w:rPr>
          <w:spacing w:val="-9"/>
        </w:rPr>
        <w:t> </w:t>
      </w:r>
      <w:r>
        <w:rPr/>
        <w:t>or</w:t>
      </w:r>
      <w:r>
        <w:rPr>
          <w:spacing w:val="-7"/>
        </w:rPr>
        <w:t> </w:t>
      </w:r>
      <w:r>
        <w:rPr/>
        <w:t>obligations</w:t>
      </w:r>
      <w:r>
        <w:rPr>
          <w:spacing w:val="-9"/>
        </w:rPr>
        <w:t> </w:t>
      </w:r>
      <w:r>
        <w:rPr/>
        <w:t>without</w:t>
      </w:r>
      <w:r>
        <w:rPr>
          <w:spacing w:val="-6"/>
        </w:rPr>
        <w:t> </w:t>
      </w:r>
      <w:r>
        <w:rPr/>
        <w:t>the</w:t>
      </w:r>
      <w:r>
        <w:rPr>
          <w:spacing w:val="-10"/>
        </w:rPr>
        <w:t> </w:t>
      </w:r>
      <w:r>
        <w:rPr/>
        <w:t>consent</w:t>
      </w:r>
      <w:r>
        <w:rPr>
          <w:spacing w:val="-7"/>
        </w:rPr>
        <w:t> </w:t>
      </w:r>
      <w:r>
        <w:rPr/>
        <w:t>of</w:t>
      </w:r>
      <w:r>
        <w:rPr>
          <w:spacing w:val="-6"/>
        </w:rPr>
        <w:t> </w:t>
      </w:r>
      <w:r>
        <w:rPr/>
        <w:t>the</w:t>
      </w:r>
      <w:r>
        <w:rPr>
          <w:spacing w:val="-8"/>
        </w:rPr>
        <w:t> </w:t>
      </w:r>
      <w:r>
        <w:rPr/>
        <w:t>City</w:t>
      </w:r>
      <w:r>
        <w:rPr>
          <w:spacing w:val="-7"/>
        </w:rPr>
        <w:t> </w:t>
      </w:r>
      <w:r>
        <w:rPr/>
        <w:t>and</w:t>
      </w:r>
      <w:r>
        <w:rPr>
          <w:spacing w:val="-8"/>
        </w:rPr>
        <w:t> </w:t>
      </w:r>
      <w:r>
        <w:rPr/>
        <w:t>of</w:t>
      </w:r>
      <w:r>
        <w:rPr>
          <w:spacing w:val="-6"/>
        </w:rPr>
        <w:t> </w:t>
      </w:r>
      <w:r>
        <w:rPr/>
        <w:t>his</w:t>
      </w:r>
      <w:r>
        <w:rPr>
          <w:spacing w:val="-7"/>
        </w:rPr>
        <w:t> </w:t>
      </w:r>
      <w:r>
        <w:rPr/>
        <w:t>sureties,</w:t>
      </w:r>
      <w:r>
        <w:rPr>
          <w:spacing w:val="-8"/>
        </w:rPr>
        <w:t> </w:t>
      </w:r>
      <w:r>
        <w:rPr/>
        <w:t>if</w:t>
      </w:r>
      <w:r>
        <w:rPr>
          <w:spacing w:val="-4"/>
        </w:rPr>
        <w:t> </w:t>
      </w:r>
      <w:r>
        <w:rPr/>
        <w:t>any.</w:t>
      </w:r>
      <w:r>
        <w:rPr>
          <w:spacing w:val="44"/>
        </w:rPr>
        <w:t> </w:t>
      </w:r>
      <w:r>
        <w:rPr/>
        <w:t>All payments made pursuant to this contract shall only be made payable to successful</w:t>
      </w:r>
      <w:r>
        <w:rPr>
          <w:spacing w:val="-16"/>
        </w:rPr>
        <w:t> </w:t>
      </w:r>
      <w:r>
        <w:rPr/>
        <w:t>TPA.</w:t>
      </w:r>
    </w:p>
    <w:p>
      <w:pPr>
        <w:pStyle w:val="BodyText"/>
      </w:pPr>
    </w:p>
    <w:p>
      <w:pPr>
        <w:pStyle w:val="Heading4"/>
        <w:numPr>
          <w:ilvl w:val="0"/>
          <w:numId w:val="4"/>
        </w:numPr>
        <w:tabs>
          <w:tab w:pos="480" w:val="left" w:leader="none"/>
        </w:tabs>
        <w:spacing w:line="252" w:lineRule="exact" w:before="1" w:after="0"/>
        <w:ind w:left="480" w:right="0" w:hanging="360"/>
        <w:jc w:val="both"/>
      </w:pPr>
      <w:r>
        <w:rPr/>
        <w:t>Independent</w:t>
      </w:r>
      <w:r>
        <w:rPr>
          <w:spacing w:val="-1"/>
        </w:rPr>
        <w:t> </w:t>
      </w:r>
      <w:r>
        <w:rPr/>
        <w:t>TPA</w:t>
      </w:r>
    </w:p>
    <w:p>
      <w:pPr>
        <w:pStyle w:val="BodyText"/>
        <w:ind w:left="480" w:right="482"/>
        <w:jc w:val="both"/>
      </w:pPr>
      <w:r>
        <w:rPr/>
        <w:t>The successful TPA shall be an independent TPA while engaged in carrying out the terms and conditions of the purchase order and will NOT be considered an officer or agent of the City. The successful TPA shall maintain adequate insurance to protect his interest during term of the contract.</w:t>
      </w:r>
    </w:p>
    <w:p>
      <w:pPr>
        <w:pStyle w:val="BodyText"/>
        <w:spacing w:before="10"/>
        <w:rPr>
          <w:sz w:val="21"/>
        </w:rPr>
      </w:pPr>
    </w:p>
    <w:p>
      <w:pPr>
        <w:pStyle w:val="Heading4"/>
        <w:numPr>
          <w:ilvl w:val="0"/>
          <w:numId w:val="4"/>
        </w:numPr>
        <w:tabs>
          <w:tab w:pos="480" w:val="left" w:leader="none"/>
        </w:tabs>
        <w:spacing w:line="240" w:lineRule="auto" w:before="0" w:after="0"/>
        <w:ind w:left="480" w:right="0" w:hanging="360"/>
        <w:jc w:val="both"/>
      </w:pPr>
      <w:r>
        <w:rPr/>
        <w:t>Equal Employment</w:t>
      </w:r>
      <w:r>
        <w:rPr>
          <w:spacing w:val="2"/>
        </w:rPr>
        <w:t> </w:t>
      </w:r>
      <w:r>
        <w:rPr/>
        <w:t>Opportunity</w:t>
      </w:r>
    </w:p>
    <w:p>
      <w:pPr>
        <w:pStyle w:val="BodyText"/>
        <w:spacing w:line="252" w:lineRule="exact" w:before="2"/>
        <w:ind w:left="480"/>
        <w:jc w:val="both"/>
      </w:pPr>
      <w:r>
        <w:rPr/>
        <w:t>THE SUCCESSFUL TPA SHALL COMPLY WITH ALL EQUAL EMPLOYMENT OPPORTUNITY</w:t>
      </w:r>
    </w:p>
    <w:p>
      <w:pPr>
        <w:pStyle w:val="BodyText"/>
        <w:ind w:left="480" w:right="482"/>
        <w:jc w:val="both"/>
      </w:pPr>
      <w:r>
        <w:rPr/>
        <w:t>PROVISIONS of federal, state and local non-discrimination laws, orders, regulations and guidelines as may be applicable to the TPA and be in effect during the performance of the contract.</w:t>
      </w:r>
    </w:p>
    <w:p>
      <w:pPr>
        <w:pStyle w:val="BodyText"/>
      </w:pPr>
    </w:p>
    <w:p>
      <w:pPr>
        <w:pStyle w:val="Heading4"/>
        <w:numPr>
          <w:ilvl w:val="0"/>
          <w:numId w:val="4"/>
        </w:numPr>
        <w:tabs>
          <w:tab w:pos="480" w:val="left" w:leader="none"/>
        </w:tabs>
        <w:spacing w:line="252" w:lineRule="exact" w:before="0" w:after="0"/>
        <w:ind w:left="480" w:right="0" w:hanging="360"/>
        <w:jc w:val="both"/>
      </w:pPr>
      <w:r>
        <w:rPr/>
        <w:t>Consulting</w:t>
      </w:r>
      <w:r>
        <w:rPr>
          <w:spacing w:val="-1"/>
        </w:rPr>
        <w:t> </w:t>
      </w:r>
      <w:r>
        <w:rPr/>
        <w:t>Agreement</w:t>
      </w:r>
    </w:p>
    <w:p>
      <w:pPr>
        <w:pStyle w:val="BodyText"/>
        <w:ind w:left="480" w:right="476"/>
        <w:jc w:val="both"/>
      </w:pPr>
      <w:r>
        <w:rPr/>
        <w:t>TPA’s</w:t>
      </w:r>
      <w:r>
        <w:rPr>
          <w:spacing w:val="-11"/>
        </w:rPr>
        <w:t> </w:t>
      </w:r>
      <w:r>
        <w:rPr/>
        <w:t>submitting</w:t>
      </w:r>
      <w:r>
        <w:rPr>
          <w:spacing w:val="-11"/>
        </w:rPr>
        <w:t> </w:t>
      </w:r>
      <w:r>
        <w:rPr/>
        <w:t>a</w:t>
      </w:r>
      <w:r>
        <w:rPr>
          <w:spacing w:val="-14"/>
        </w:rPr>
        <w:t> </w:t>
      </w:r>
      <w:r>
        <w:rPr/>
        <w:t>proposal</w:t>
      </w:r>
      <w:r>
        <w:rPr>
          <w:spacing w:val="-11"/>
        </w:rPr>
        <w:t> </w:t>
      </w:r>
      <w:r>
        <w:rPr/>
        <w:t>shall</w:t>
      </w:r>
      <w:r>
        <w:rPr>
          <w:spacing w:val="-12"/>
        </w:rPr>
        <w:t> </w:t>
      </w:r>
      <w:r>
        <w:rPr/>
        <w:t>be</w:t>
      </w:r>
      <w:r>
        <w:rPr>
          <w:spacing w:val="-14"/>
        </w:rPr>
        <w:t> </w:t>
      </w:r>
      <w:r>
        <w:rPr/>
        <w:t>prepared</w:t>
      </w:r>
      <w:r>
        <w:rPr>
          <w:spacing w:val="-12"/>
        </w:rPr>
        <w:t> </w:t>
      </w:r>
      <w:r>
        <w:rPr/>
        <w:t>to</w:t>
      </w:r>
      <w:r>
        <w:rPr>
          <w:spacing w:val="-13"/>
        </w:rPr>
        <w:t> </w:t>
      </w:r>
      <w:r>
        <w:rPr/>
        <w:t>use</w:t>
      </w:r>
      <w:r>
        <w:rPr>
          <w:spacing w:val="-14"/>
        </w:rPr>
        <w:t> </w:t>
      </w:r>
      <w:r>
        <w:rPr/>
        <w:t>the</w:t>
      </w:r>
      <w:r>
        <w:rPr>
          <w:spacing w:val="-11"/>
        </w:rPr>
        <w:t> </w:t>
      </w:r>
      <w:r>
        <w:rPr/>
        <w:t>City’s</w:t>
      </w:r>
      <w:r>
        <w:rPr>
          <w:spacing w:val="-11"/>
        </w:rPr>
        <w:t> </w:t>
      </w:r>
      <w:r>
        <w:rPr/>
        <w:t>standard</w:t>
      </w:r>
      <w:r>
        <w:rPr>
          <w:spacing w:val="-13"/>
        </w:rPr>
        <w:t> </w:t>
      </w:r>
      <w:r>
        <w:rPr/>
        <w:t>contract</w:t>
      </w:r>
      <w:r>
        <w:rPr>
          <w:spacing w:val="-15"/>
        </w:rPr>
        <w:t> </w:t>
      </w:r>
      <w:r>
        <w:rPr/>
        <w:t>form</w:t>
      </w:r>
      <w:r>
        <w:rPr>
          <w:spacing w:val="-14"/>
        </w:rPr>
        <w:t> </w:t>
      </w:r>
      <w:r>
        <w:rPr/>
        <w:t>rather</w:t>
      </w:r>
      <w:r>
        <w:rPr>
          <w:spacing w:val="-12"/>
        </w:rPr>
        <w:t> </w:t>
      </w:r>
      <w:r>
        <w:rPr/>
        <w:t>than its own contract form, a Sample Consulting Agreement is attached as </w:t>
      </w:r>
      <w:r>
        <w:rPr>
          <w:b/>
        </w:rPr>
        <w:t>Exhibit “1”</w:t>
      </w:r>
      <w:r>
        <w:rPr/>
        <w:t>. The Consulting Agreement shall be executed and returned to the City of Escondido. Services may not commence until the Consulting Agreement is</w:t>
      </w:r>
      <w:r>
        <w:rPr>
          <w:spacing w:val="-1"/>
        </w:rPr>
        <w:t> </w:t>
      </w:r>
      <w:r>
        <w:rPr/>
        <w:t>executed.</w:t>
      </w:r>
    </w:p>
    <w:p>
      <w:pPr>
        <w:pStyle w:val="BodyText"/>
        <w:spacing w:before="11"/>
        <w:rPr>
          <w:sz w:val="21"/>
        </w:rPr>
      </w:pPr>
    </w:p>
    <w:p>
      <w:pPr>
        <w:pStyle w:val="Heading4"/>
        <w:numPr>
          <w:ilvl w:val="0"/>
          <w:numId w:val="4"/>
        </w:numPr>
        <w:tabs>
          <w:tab w:pos="480" w:val="left" w:leader="none"/>
        </w:tabs>
        <w:spacing w:line="240" w:lineRule="auto" w:before="0" w:after="0"/>
        <w:ind w:left="480" w:right="0" w:hanging="360"/>
        <w:jc w:val="both"/>
      </w:pPr>
      <w:r>
        <w:rPr/>
        <w:t>Royalties, Licenses and</w:t>
      </w:r>
      <w:r>
        <w:rPr>
          <w:spacing w:val="-1"/>
        </w:rPr>
        <w:t> </w:t>
      </w:r>
      <w:r>
        <w:rPr/>
        <w:t>Patents</w:t>
      </w:r>
    </w:p>
    <w:p>
      <w:pPr>
        <w:pStyle w:val="BodyText"/>
        <w:spacing w:before="2"/>
        <w:ind w:left="480" w:right="483"/>
        <w:jc w:val="both"/>
      </w:pPr>
      <w:r>
        <w:rPr/>
        <w:t>Unless otherwise specified, the successful TPA shall pay all royalties, license and patent fees. The successful TPA warrants the materials to be supplied do not infringe any patent, trademark or copyright. The successful TPA agrees to defend any and all suits, actions and claims for infringement that are brought against the City and to indemnify and hold harmless the City from all loss or damages whether general, exemplary or punitive, as a result of any claims against</w:t>
      </w:r>
      <w:r>
        <w:rPr>
          <w:spacing w:val="-37"/>
        </w:rPr>
        <w:t> </w:t>
      </w:r>
      <w:r>
        <w:rPr/>
        <w:t>the City pursuant to the terms of this</w:t>
      </w:r>
      <w:r>
        <w:rPr>
          <w:spacing w:val="-11"/>
        </w:rPr>
        <w:t> </w:t>
      </w:r>
      <w:r>
        <w:rPr/>
        <w:t>contract.</w:t>
      </w:r>
    </w:p>
    <w:p>
      <w:pPr>
        <w:pStyle w:val="BodyText"/>
        <w:spacing w:before="9"/>
        <w:rPr>
          <w:sz w:val="21"/>
        </w:rPr>
      </w:pPr>
    </w:p>
    <w:p>
      <w:pPr>
        <w:pStyle w:val="Heading4"/>
        <w:numPr>
          <w:ilvl w:val="0"/>
          <w:numId w:val="4"/>
        </w:numPr>
        <w:tabs>
          <w:tab w:pos="480" w:val="left" w:leader="none"/>
        </w:tabs>
        <w:spacing w:line="240" w:lineRule="auto" w:before="0" w:after="0"/>
        <w:ind w:left="480" w:right="0" w:hanging="360"/>
        <w:jc w:val="both"/>
      </w:pPr>
      <w:r>
        <w:rPr/>
        <w:t>TPA’s</w:t>
      </w:r>
      <w:r>
        <w:rPr>
          <w:spacing w:val="-3"/>
        </w:rPr>
        <w:t> </w:t>
      </w:r>
      <w:r>
        <w:rPr/>
        <w:t>Invoices</w:t>
      </w:r>
    </w:p>
    <w:p>
      <w:pPr>
        <w:pStyle w:val="BodyText"/>
        <w:spacing w:before="1"/>
        <w:ind w:left="480" w:right="484"/>
        <w:jc w:val="both"/>
      </w:pPr>
      <w:r>
        <w:rPr/>
        <w:t>Invoices shall be prepared and submitted to: City of Escondido, Workers’ Compensation, 201 N. Broadway, Escondido, CA 92025. Separate invoices are required for each purchase order. Invoices shall contain the following information: Purchase Order number, item number,</w:t>
      </w:r>
    </w:p>
    <w:p>
      <w:pPr>
        <w:spacing w:after="0"/>
        <w:jc w:val="both"/>
        <w:sectPr>
          <w:pgSz w:w="12240" w:h="15840"/>
          <w:pgMar w:header="0" w:footer="1248" w:top="740" w:bottom="1440" w:left="960" w:right="960"/>
        </w:sectPr>
      </w:pPr>
    </w:p>
    <w:p>
      <w:pPr>
        <w:pStyle w:val="BodyText"/>
        <w:spacing w:before="71"/>
        <w:ind w:left="480" w:right="482"/>
        <w:jc w:val="both"/>
      </w:pPr>
      <w:r>
        <w:rPr/>
        <w:pict>
          <v:group style="position:absolute;margin-left:26.160002pt;margin-top:26.160002pt;width:561.85pt;height:741.85pt;mso-position-horizontal-relative:page;mso-position-vertical-relative:page;z-index:-253968384" coordorigin="523,523" coordsize="11237,14837">
            <v:line style="position:absolute" from="523,545" to="11674,545" stroked="true" strokeweight="2.159998pt" strokecolor="#000000">
              <v:stroke dashstyle="solid"/>
            </v:line>
            <v:rect style="position:absolute;left:11673;top:523;width:44;height:44" filled="true" fillcolor="#000000" stroked="false">
              <v:fill type="solid"/>
            </v:rect>
            <v:line style="position:absolute" from="545,566" to="545,15317" stroked="true" strokeweight="2.159998pt" strokecolor="#000000">
              <v:stroke dashstyle="solid"/>
            </v:line>
            <v:line style="position:absolute" from="11717,566" to="11717,15274" stroked="true" strokeweight="4.320008pt" strokecolor="#000000">
              <v:stroke dashstyle="solid"/>
            </v:line>
            <v:line style="position:absolute" from="566,15317" to="11674,15317" stroked="true" strokeweight="4.320008pt" strokecolor="#000000">
              <v:stroke dashstyle="solid"/>
            </v:line>
            <v:shape style="position:absolute;left:11673;top:15273;width:87;height:87" coordorigin="11674,15274" coordsize="87,87" path="m11760,15274l11717,15274,11674,15274,11674,15317,11674,15360,11717,15360,11760,15360,11760,15317,11760,15274e" filled="true" fillcolor="#000000" stroked="false">
              <v:path arrowok="t"/>
              <v:fill type="solid"/>
            </v:shape>
            <w10:wrap type="none"/>
          </v:group>
        </w:pict>
      </w:r>
      <w:r>
        <w:rPr/>
        <w:t>description of supplies or services, sizes, units of measure, quantities, unit prices and extended totals. Invoices should include all applicable sales or other taxes, and shall be remitted to appropriate agencies on the City’s behalf. All payments made pursuant to this contract are not assignable and shall only be made payable to the seller.</w:t>
      </w:r>
    </w:p>
    <w:p>
      <w:pPr>
        <w:pStyle w:val="BodyText"/>
      </w:pPr>
    </w:p>
    <w:p>
      <w:pPr>
        <w:pStyle w:val="Heading4"/>
        <w:numPr>
          <w:ilvl w:val="0"/>
          <w:numId w:val="4"/>
        </w:numPr>
        <w:tabs>
          <w:tab w:pos="480" w:val="left" w:leader="none"/>
        </w:tabs>
        <w:spacing w:line="252" w:lineRule="exact" w:before="0" w:after="0"/>
        <w:ind w:left="480" w:right="0" w:hanging="360"/>
        <w:jc w:val="both"/>
      </w:pPr>
      <w:r>
        <w:rPr/>
        <w:t>Payment Terms</w:t>
      </w:r>
    </w:p>
    <w:p>
      <w:pPr>
        <w:pStyle w:val="BodyText"/>
        <w:ind w:left="480" w:right="482"/>
        <w:jc w:val="both"/>
      </w:pPr>
      <w:r>
        <w:rPr/>
        <w:t>The City’s payment terms are Net 30 days from date of invoice. No pre-payment or partial up front down payment will be made for any goods or services. TPA shall be paid monthly for work performed satisfactorily under this contract.</w:t>
      </w:r>
    </w:p>
    <w:p>
      <w:pPr>
        <w:pStyle w:val="BodyText"/>
      </w:pPr>
    </w:p>
    <w:p>
      <w:pPr>
        <w:pStyle w:val="Heading4"/>
        <w:numPr>
          <w:ilvl w:val="0"/>
          <w:numId w:val="4"/>
        </w:numPr>
        <w:tabs>
          <w:tab w:pos="480" w:val="left" w:leader="none"/>
        </w:tabs>
        <w:spacing w:line="252" w:lineRule="exact" w:before="0" w:after="0"/>
        <w:ind w:left="480" w:right="0" w:hanging="360"/>
        <w:jc w:val="left"/>
      </w:pPr>
      <w:r>
        <w:rPr/>
        <w:t>Insurance</w:t>
      </w:r>
      <w:r>
        <w:rPr>
          <w:spacing w:val="-1"/>
        </w:rPr>
        <w:t> </w:t>
      </w:r>
      <w:r>
        <w:rPr/>
        <w:t>Requirements</w:t>
      </w:r>
    </w:p>
    <w:p>
      <w:pPr>
        <w:pStyle w:val="BodyText"/>
        <w:spacing w:line="252" w:lineRule="exact"/>
        <w:ind w:left="480"/>
      </w:pPr>
      <w:r>
        <w:rPr/>
        <w:t>The TPA must have insurance in accordance with the requirements in the TPA Agreement (see</w:t>
      </w:r>
    </w:p>
    <w:p>
      <w:pPr>
        <w:pStyle w:val="Heading4"/>
        <w:spacing w:line="252" w:lineRule="exact"/>
        <w:ind w:left="480" w:firstLine="0"/>
        <w:rPr>
          <w:b w:val="0"/>
        </w:rPr>
      </w:pPr>
      <w:r>
        <w:rPr/>
        <w:t>Exhibit “1”</w:t>
      </w:r>
      <w:r>
        <w:rPr>
          <w:b w:val="0"/>
        </w:rPr>
        <w:t>).</w:t>
      </w:r>
    </w:p>
    <w:p>
      <w:pPr>
        <w:spacing w:after="0" w:line="252" w:lineRule="exact"/>
        <w:sectPr>
          <w:pgSz w:w="12240" w:h="15840"/>
          <w:pgMar w:header="0" w:footer="1248" w:top="740" w:bottom="1440" w:left="960" w:right="960"/>
        </w:sectPr>
      </w:pPr>
    </w:p>
    <w:p>
      <w:pPr>
        <w:spacing w:before="70"/>
        <w:ind w:left="1046" w:right="1046" w:firstLine="0"/>
        <w:jc w:val="center"/>
        <w:rPr>
          <w:b/>
          <w:sz w:val="28"/>
        </w:rPr>
      </w:pPr>
      <w:r>
        <w:rPr/>
        <w:pict>
          <v:group style="position:absolute;margin-left:26.160002pt;margin-top:26.160002pt;width:561.85pt;height:741.85pt;mso-position-horizontal-relative:page;mso-position-vertical-relative:page;z-index:-253967360" coordorigin="523,523" coordsize="11237,14837">
            <v:line style="position:absolute" from="523,545" to="11674,545" stroked="true" strokeweight="2.159998pt" strokecolor="#000000">
              <v:stroke dashstyle="solid"/>
            </v:line>
            <v:rect style="position:absolute;left:11673;top:523;width:44;height:44" filled="true" fillcolor="#000000" stroked="false">
              <v:fill type="solid"/>
            </v:rect>
            <v:line style="position:absolute" from="545,566" to="545,15317" stroked="true" strokeweight="2.159998pt" strokecolor="#000000">
              <v:stroke dashstyle="solid"/>
            </v:line>
            <v:line style="position:absolute" from="11717,566" to="11717,15274" stroked="true" strokeweight="4.320008pt" strokecolor="#000000">
              <v:stroke dashstyle="solid"/>
            </v:line>
            <v:line style="position:absolute" from="566,15317" to="11674,15317" stroked="true" strokeweight="4.320008pt" strokecolor="#000000">
              <v:stroke dashstyle="solid"/>
            </v:line>
            <v:shape style="position:absolute;left:11673;top:15273;width:87;height:87" coordorigin="11674,15274" coordsize="87,87" path="m11760,15274l11717,15274,11674,15274,11674,15317,11674,15360,11717,15360,11760,15360,11760,15317,11760,15274e" filled="true" fillcolor="#000000" stroked="false">
              <v:path arrowok="t"/>
              <v:fill type="solid"/>
            </v:shape>
            <w10:wrap type="none"/>
          </v:group>
        </w:pict>
      </w:r>
      <w:r>
        <w:rPr>
          <w:b/>
          <w:spacing w:val="-203"/>
          <w:sz w:val="28"/>
          <w:u w:val="thick"/>
        </w:rPr>
        <w:t>A</w:t>
      </w:r>
      <w:r>
        <w:rPr>
          <w:b/>
          <w:spacing w:val="121"/>
          <w:sz w:val="28"/>
        </w:rPr>
        <w:t> </w:t>
      </w:r>
      <w:r>
        <w:rPr>
          <w:b/>
          <w:sz w:val="28"/>
          <w:u w:val="thick"/>
        </w:rPr>
        <w:t>ttachment “A”</w:t>
      </w:r>
    </w:p>
    <w:p>
      <w:pPr>
        <w:spacing w:before="1"/>
        <w:ind w:left="1046" w:right="1051" w:firstLine="0"/>
        <w:jc w:val="center"/>
        <w:rPr>
          <w:b/>
          <w:sz w:val="24"/>
        </w:rPr>
      </w:pPr>
      <w:r>
        <w:rPr>
          <w:b/>
          <w:sz w:val="24"/>
        </w:rPr>
        <w:t>PROPOSAL QUESTIONNAIRE</w:t>
      </w:r>
    </w:p>
    <w:p>
      <w:pPr>
        <w:pStyle w:val="BodyText"/>
        <w:spacing w:before="2"/>
        <w:rPr>
          <w:b/>
          <w:sz w:val="24"/>
        </w:rPr>
      </w:pPr>
    </w:p>
    <w:p>
      <w:pPr>
        <w:pStyle w:val="BodyText"/>
        <w:ind w:left="480"/>
        <w:jc w:val="both"/>
      </w:pPr>
      <w:r>
        <w:rPr/>
        <w:t>TPA shall include a narrative summary in your response for each of the items listed below:</w:t>
      </w:r>
    </w:p>
    <w:p>
      <w:pPr>
        <w:pStyle w:val="BodyText"/>
        <w:spacing w:before="9"/>
        <w:rPr>
          <w:sz w:val="21"/>
        </w:rPr>
      </w:pPr>
    </w:p>
    <w:p>
      <w:pPr>
        <w:pStyle w:val="ListParagraph"/>
        <w:numPr>
          <w:ilvl w:val="1"/>
          <w:numId w:val="4"/>
        </w:numPr>
        <w:tabs>
          <w:tab w:pos="1201" w:val="left" w:leader="none"/>
        </w:tabs>
        <w:spacing w:line="480" w:lineRule="auto" w:before="1" w:after="0"/>
        <w:ind w:left="1200" w:right="483" w:hanging="360"/>
        <w:jc w:val="both"/>
        <w:rPr>
          <w:sz w:val="22"/>
        </w:rPr>
      </w:pPr>
      <w:r>
        <w:rPr>
          <w:sz w:val="22"/>
        </w:rPr>
        <w:t>Provide an overview of your firm, an outline of your procedures used in administering claims for safety members in public agencies </w:t>
      </w:r>
      <w:r>
        <w:rPr>
          <w:spacing w:val="-3"/>
          <w:sz w:val="22"/>
        </w:rPr>
        <w:t>in </w:t>
      </w:r>
      <w:r>
        <w:rPr>
          <w:sz w:val="22"/>
        </w:rPr>
        <w:t>California. Supervisory personnel and Claims</w:t>
      </w:r>
      <w:r>
        <w:rPr>
          <w:spacing w:val="-14"/>
          <w:sz w:val="22"/>
        </w:rPr>
        <w:t> </w:t>
      </w:r>
      <w:r>
        <w:rPr>
          <w:sz w:val="22"/>
        </w:rPr>
        <w:t>Examiners</w:t>
      </w:r>
      <w:r>
        <w:rPr>
          <w:spacing w:val="-13"/>
          <w:sz w:val="22"/>
        </w:rPr>
        <w:t> </w:t>
      </w:r>
      <w:r>
        <w:rPr>
          <w:sz w:val="22"/>
        </w:rPr>
        <w:t>assigned</w:t>
      </w:r>
      <w:r>
        <w:rPr>
          <w:spacing w:val="-15"/>
          <w:sz w:val="22"/>
        </w:rPr>
        <w:t> </w:t>
      </w:r>
      <w:r>
        <w:rPr>
          <w:sz w:val="22"/>
        </w:rPr>
        <w:t>to</w:t>
      </w:r>
      <w:r>
        <w:rPr>
          <w:spacing w:val="-14"/>
          <w:sz w:val="22"/>
        </w:rPr>
        <w:t> </w:t>
      </w:r>
      <w:r>
        <w:rPr>
          <w:sz w:val="22"/>
        </w:rPr>
        <w:t>City’s</w:t>
      </w:r>
      <w:r>
        <w:rPr>
          <w:spacing w:val="-14"/>
          <w:sz w:val="22"/>
        </w:rPr>
        <w:t> </w:t>
      </w:r>
      <w:r>
        <w:rPr>
          <w:sz w:val="22"/>
        </w:rPr>
        <w:t>contract</w:t>
      </w:r>
      <w:r>
        <w:rPr>
          <w:spacing w:val="-12"/>
          <w:sz w:val="22"/>
        </w:rPr>
        <w:t> </w:t>
      </w:r>
      <w:r>
        <w:rPr>
          <w:sz w:val="22"/>
        </w:rPr>
        <w:t>must</w:t>
      </w:r>
      <w:r>
        <w:rPr>
          <w:spacing w:val="-16"/>
          <w:sz w:val="22"/>
        </w:rPr>
        <w:t> </w:t>
      </w:r>
      <w:r>
        <w:rPr>
          <w:sz w:val="22"/>
        </w:rPr>
        <w:t>have</w:t>
      </w:r>
      <w:r>
        <w:rPr>
          <w:spacing w:val="-13"/>
          <w:sz w:val="22"/>
        </w:rPr>
        <w:t> </w:t>
      </w:r>
      <w:r>
        <w:rPr>
          <w:sz w:val="22"/>
        </w:rPr>
        <w:t>a</w:t>
      </w:r>
      <w:r>
        <w:rPr>
          <w:spacing w:val="-15"/>
          <w:sz w:val="22"/>
        </w:rPr>
        <w:t> </w:t>
      </w:r>
      <w:r>
        <w:rPr>
          <w:sz w:val="22"/>
        </w:rPr>
        <w:t>minimum</w:t>
      </w:r>
      <w:r>
        <w:rPr>
          <w:spacing w:val="-11"/>
          <w:sz w:val="22"/>
        </w:rPr>
        <w:t> </w:t>
      </w:r>
      <w:r>
        <w:rPr>
          <w:sz w:val="22"/>
        </w:rPr>
        <w:t>of</w:t>
      </w:r>
      <w:r>
        <w:rPr>
          <w:spacing w:val="-14"/>
          <w:sz w:val="22"/>
        </w:rPr>
        <w:t> </w:t>
      </w:r>
      <w:r>
        <w:rPr>
          <w:sz w:val="22"/>
        </w:rPr>
        <w:t>two</w:t>
      </w:r>
      <w:r>
        <w:rPr>
          <w:spacing w:val="-13"/>
          <w:sz w:val="22"/>
        </w:rPr>
        <w:t> </w:t>
      </w:r>
      <w:r>
        <w:rPr>
          <w:sz w:val="22"/>
        </w:rPr>
        <w:t>years’</w:t>
      </w:r>
      <w:r>
        <w:rPr>
          <w:spacing w:val="-17"/>
          <w:sz w:val="22"/>
        </w:rPr>
        <w:t> </w:t>
      </w:r>
      <w:r>
        <w:rPr>
          <w:sz w:val="22"/>
        </w:rPr>
        <w:t>qualified experience in administering claims for safety</w:t>
      </w:r>
      <w:r>
        <w:rPr>
          <w:spacing w:val="-4"/>
          <w:sz w:val="22"/>
        </w:rPr>
        <w:t> </w:t>
      </w:r>
      <w:r>
        <w:rPr>
          <w:sz w:val="22"/>
        </w:rPr>
        <w:t>members</w:t>
      </w:r>
    </w:p>
    <w:p>
      <w:pPr>
        <w:pStyle w:val="ListParagraph"/>
        <w:numPr>
          <w:ilvl w:val="1"/>
          <w:numId w:val="4"/>
        </w:numPr>
        <w:tabs>
          <w:tab w:pos="1201" w:val="left" w:leader="none"/>
        </w:tabs>
        <w:spacing w:line="480" w:lineRule="auto" w:before="1" w:after="0"/>
        <w:ind w:left="1200" w:right="486" w:hanging="360"/>
        <w:jc w:val="both"/>
        <w:rPr>
          <w:sz w:val="22"/>
        </w:rPr>
      </w:pPr>
      <w:r>
        <w:rPr>
          <w:sz w:val="22"/>
        </w:rPr>
        <w:t>Describe your firm’s geographic location, including branch office, and detail as to which branch is proposed to provide TPA services to the City of</w:t>
      </w:r>
      <w:r>
        <w:rPr>
          <w:spacing w:val="-4"/>
          <w:sz w:val="22"/>
        </w:rPr>
        <w:t> </w:t>
      </w:r>
      <w:r>
        <w:rPr>
          <w:sz w:val="22"/>
        </w:rPr>
        <w:t>Escondido.</w:t>
      </w:r>
    </w:p>
    <w:p>
      <w:pPr>
        <w:pStyle w:val="ListParagraph"/>
        <w:numPr>
          <w:ilvl w:val="1"/>
          <w:numId w:val="4"/>
        </w:numPr>
        <w:tabs>
          <w:tab w:pos="1201" w:val="left" w:leader="none"/>
        </w:tabs>
        <w:spacing w:line="480" w:lineRule="auto" w:before="0" w:after="0"/>
        <w:ind w:left="1200" w:right="483" w:hanging="360"/>
        <w:jc w:val="both"/>
        <w:rPr>
          <w:sz w:val="22"/>
        </w:rPr>
      </w:pPr>
      <w:r>
        <w:rPr>
          <w:sz w:val="22"/>
        </w:rPr>
        <w:t>Provide</w:t>
      </w:r>
      <w:r>
        <w:rPr>
          <w:spacing w:val="-7"/>
          <w:sz w:val="22"/>
        </w:rPr>
        <w:t> </w:t>
      </w:r>
      <w:r>
        <w:rPr>
          <w:sz w:val="22"/>
        </w:rPr>
        <w:t>an</w:t>
      </w:r>
      <w:r>
        <w:rPr>
          <w:spacing w:val="-7"/>
          <w:sz w:val="22"/>
        </w:rPr>
        <w:t> </w:t>
      </w:r>
      <w:r>
        <w:rPr>
          <w:sz w:val="22"/>
        </w:rPr>
        <w:t>update</w:t>
      </w:r>
      <w:r>
        <w:rPr>
          <w:spacing w:val="-6"/>
          <w:sz w:val="22"/>
        </w:rPr>
        <w:t> </w:t>
      </w:r>
      <w:r>
        <w:rPr>
          <w:sz w:val="22"/>
        </w:rPr>
        <w:t>on</w:t>
      </w:r>
      <w:r>
        <w:rPr>
          <w:spacing w:val="-9"/>
          <w:sz w:val="22"/>
        </w:rPr>
        <w:t> </w:t>
      </w:r>
      <w:r>
        <w:rPr>
          <w:sz w:val="22"/>
        </w:rPr>
        <w:t>your</w:t>
      </w:r>
      <w:r>
        <w:rPr>
          <w:spacing w:val="-8"/>
          <w:sz w:val="22"/>
        </w:rPr>
        <w:t> </w:t>
      </w:r>
      <w:r>
        <w:rPr>
          <w:sz w:val="22"/>
        </w:rPr>
        <w:t>firm’s</w:t>
      </w:r>
      <w:r>
        <w:rPr>
          <w:spacing w:val="-6"/>
          <w:sz w:val="22"/>
        </w:rPr>
        <w:t> </w:t>
      </w:r>
      <w:r>
        <w:rPr>
          <w:sz w:val="22"/>
        </w:rPr>
        <w:t>status</w:t>
      </w:r>
      <w:r>
        <w:rPr>
          <w:spacing w:val="-10"/>
          <w:sz w:val="22"/>
        </w:rPr>
        <w:t> </w:t>
      </w:r>
      <w:r>
        <w:rPr>
          <w:sz w:val="22"/>
        </w:rPr>
        <w:t>with</w:t>
      </w:r>
      <w:r>
        <w:rPr>
          <w:spacing w:val="-6"/>
          <w:sz w:val="22"/>
        </w:rPr>
        <w:t> </w:t>
      </w:r>
      <w:r>
        <w:rPr>
          <w:sz w:val="22"/>
        </w:rPr>
        <w:t>respect</w:t>
      </w:r>
      <w:r>
        <w:rPr>
          <w:spacing w:val="-7"/>
          <w:sz w:val="22"/>
        </w:rPr>
        <w:t> </w:t>
      </w:r>
      <w:r>
        <w:rPr>
          <w:sz w:val="22"/>
        </w:rPr>
        <w:t>to</w:t>
      </w:r>
      <w:r>
        <w:rPr>
          <w:spacing w:val="-8"/>
          <w:sz w:val="22"/>
        </w:rPr>
        <w:t> </w:t>
      </w:r>
      <w:r>
        <w:rPr>
          <w:sz w:val="22"/>
        </w:rPr>
        <w:t>any</w:t>
      </w:r>
      <w:r>
        <w:rPr>
          <w:spacing w:val="-12"/>
          <w:sz w:val="22"/>
        </w:rPr>
        <w:t> </w:t>
      </w:r>
      <w:r>
        <w:rPr>
          <w:sz w:val="22"/>
        </w:rPr>
        <w:t>major</w:t>
      </w:r>
      <w:r>
        <w:rPr>
          <w:spacing w:val="-6"/>
          <w:sz w:val="22"/>
        </w:rPr>
        <w:t> </w:t>
      </w:r>
      <w:r>
        <w:rPr>
          <w:sz w:val="22"/>
        </w:rPr>
        <w:t>changes</w:t>
      </w:r>
      <w:r>
        <w:rPr>
          <w:spacing w:val="-10"/>
          <w:sz w:val="22"/>
        </w:rPr>
        <w:t> </w:t>
      </w:r>
      <w:r>
        <w:rPr>
          <w:sz w:val="22"/>
        </w:rPr>
        <w:t>(i.e.,</w:t>
      </w:r>
      <w:r>
        <w:rPr>
          <w:spacing w:val="-7"/>
          <w:sz w:val="22"/>
        </w:rPr>
        <w:t> </w:t>
      </w:r>
      <w:r>
        <w:rPr>
          <w:sz w:val="22"/>
        </w:rPr>
        <w:t>relocation of firm, consolidation, acquisition) in which your organization has been involved over the past two years, or which may be involved during the 2022 to 2023 fiscal</w:t>
      </w:r>
      <w:r>
        <w:rPr>
          <w:spacing w:val="-13"/>
          <w:sz w:val="22"/>
        </w:rPr>
        <w:t> </w:t>
      </w:r>
      <w:r>
        <w:rPr>
          <w:sz w:val="22"/>
        </w:rPr>
        <w:t>years.</w:t>
      </w:r>
    </w:p>
    <w:p>
      <w:pPr>
        <w:pStyle w:val="ListParagraph"/>
        <w:numPr>
          <w:ilvl w:val="1"/>
          <w:numId w:val="4"/>
        </w:numPr>
        <w:tabs>
          <w:tab w:pos="1201" w:val="left" w:leader="none"/>
        </w:tabs>
        <w:spacing w:line="480" w:lineRule="auto" w:before="0" w:after="0"/>
        <w:ind w:left="1200" w:right="481" w:hanging="360"/>
        <w:jc w:val="both"/>
        <w:rPr>
          <w:sz w:val="22"/>
        </w:rPr>
      </w:pPr>
      <w:r>
        <w:rPr>
          <w:sz w:val="22"/>
        </w:rPr>
        <w:t>Disclose any litigations instigated against your firm or cancellation of contract for nonperformance during the past 5</w:t>
      </w:r>
      <w:r>
        <w:rPr>
          <w:spacing w:val="-1"/>
          <w:sz w:val="22"/>
        </w:rPr>
        <w:t> </w:t>
      </w:r>
      <w:r>
        <w:rPr>
          <w:sz w:val="22"/>
        </w:rPr>
        <w:t>years.</w:t>
      </w:r>
    </w:p>
    <w:p>
      <w:pPr>
        <w:pStyle w:val="ListParagraph"/>
        <w:numPr>
          <w:ilvl w:val="1"/>
          <w:numId w:val="4"/>
        </w:numPr>
        <w:tabs>
          <w:tab w:pos="1201" w:val="left" w:leader="none"/>
        </w:tabs>
        <w:spacing w:line="480" w:lineRule="auto" w:before="0" w:after="0"/>
        <w:ind w:left="1200" w:right="480" w:hanging="360"/>
        <w:jc w:val="both"/>
        <w:rPr>
          <w:sz w:val="22"/>
        </w:rPr>
      </w:pPr>
      <w:r>
        <w:rPr>
          <w:sz w:val="22"/>
        </w:rPr>
        <w:t>Describe</w:t>
      </w:r>
      <w:r>
        <w:rPr>
          <w:spacing w:val="-10"/>
          <w:sz w:val="22"/>
        </w:rPr>
        <w:t> </w:t>
      </w:r>
      <w:r>
        <w:rPr>
          <w:sz w:val="22"/>
        </w:rPr>
        <w:t>your</w:t>
      </w:r>
      <w:r>
        <w:rPr>
          <w:spacing w:val="-8"/>
          <w:sz w:val="22"/>
        </w:rPr>
        <w:t> </w:t>
      </w:r>
      <w:r>
        <w:rPr>
          <w:sz w:val="22"/>
        </w:rPr>
        <w:t>proposed</w:t>
      </w:r>
      <w:r>
        <w:rPr>
          <w:spacing w:val="-12"/>
          <w:sz w:val="22"/>
        </w:rPr>
        <w:t> </w:t>
      </w:r>
      <w:r>
        <w:rPr>
          <w:sz w:val="22"/>
        </w:rPr>
        <w:t>plan</w:t>
      </w:r>
      <w:r>
        <w:rPr>
          <w:spacing w:val="-10"/>
          <w:sz w:val="22"/>
        </w:rPr>
        <w:t> </w:t>
      </w:r>
      <w:r>
        <w:rPr>
          <w:sz w:val="22"/>
        </w:rPr>
        <w:t>to</w:t>
      </w:r>
      <w:r>
        <w:rPr>
          <w:spacing w:val="-10"/>
          <w:sz w:val="22"/>
        </w:rPr>
        <w:t> </w:t>
      </w:r>
      <w:r>
        <w:rPr>
          <w:sz w:val="22"/>
        </w:rPr>
        <w:t>administer</w:t>
      </w:r>
      <w:r>
        <w:rPr>
          <w:spacing w:val="-10"/>
          <w:sz w:val="22"/>
        </w:rPr>
        <w:t> </w:t>
      </w:r>
      <w:r>
        <w:rPr>
          <w:sz w:val="22"/>
        </w:rPr>
        <w:t>the</w:t>
      </w:r>
      <w:r>
        <w:rPr>
          <w:spacing w:val="-13"/>
          <w:sz w:val="22"/>
        </w:rPr>
        <w:t> </w:t>
      </w:r>
      <w:r>
        <w:rPr>
          <w:sz w:val="22"/>
        </w:rPr>
        <w:t>City’s</w:t>
      </w:r>
      <w:r>
        <w:rPr>
          <w:spacing w:val="-5"/>
          <w:sz w:val="22"/>
        </w:rPr>
        <w:t> </w:t>
      </w:r>
      <w:r>
        <w:rPr>
          <w:sz w:val="22"/>
        </w:rPr>
        <w:t>workers’</w:t>
      </w:r>
      <w:r>
        <w:rPr>
          <w:spacing w:val="-10"/>
          <w:sz w:val="22"/>
        </w:rPr>
        <w:t> </w:t>
      </w:r>
      <w:r>
        <w:rPr>
          <w:sz w:val="22"/>
        </w:rPr>
        <w:t>compensation</w:t>
      </w:r>
      <w:r>
        <w:rPr>
          <w:spacing w:val="-10"/>
          <w:sz w:val="22"/>
        </w:rPr>
        <w:t> </w:t>
      </w:r>
      <w:r>
        <w:rPr>
          <w:sz w:val="22"/>
        </w:rPr>
        <w:t>program</w:t>
      </w:r>
      <w:r>
        <w:rPr>
          <w:spacing w:val="-10"/>
          <w:sz w:val="22"/>
        </w:rPr>
        <w:t> </w:t>
      </w:r>
      <w:r>
        <w:rPr>
          <w:sz w:val="22"/>
        </w:rPr>
        <w:t>and comply with the Scope of Work outlined by this RFP. If you are unable or unwilling to comply with a specific performance objective, please indicate the objective and the specific reason(s) the objective cannot be</w:t>
      </w:r>
      <w:r>
        <w:rPr>
          <w:spacing w:val="-5"/>
          <w:sz w:val="22"/>
        </w:rPr>
        <w:t> </w:t>
      </w:r>
      <w:r>
        <w:rPr>
          <w:sz w:val="22"/>
        </w:rPr>
        <w:t>met.</w:t>
      </w:r>
    </w:p>
    <w:p>
      <w:pPr>
        <w:pStyle w:val="ListParagraph"/>
        <w:numPr>
          <w:ilvl w:val="1"/>
          <w:numId w:val="4"/>
        </w:numPr>
        <w:tabs>
          <w:tab w:pos="1201" w:val="left" w:leader="none"/>
        </w:tabs>
        <w:spacing w:line="477" w:lineRule="auto" w:before="0" w:after="0"/>
        <w:ind w:left="1200" w:right="483" w:hanging="360"/>
        <w:jc w:val="both"/>
        <w:rPr>
          <w:sz w:val="22"/>
        </w:rPr>
      </w:pPr>
      <w:r>
        <w:rPr>
          <w:sz w:val="22"/>
        </w:rPr>
        <w:t>Indicate whether any portion of the work to be performed is subcontracted or outsourced and provide a brief overview of the subcontractor including names and</w:t>
      </w:r>
      <w:r>
        <w:rPr>
          <w:spacing w:val="-8"/>
          <w:sz w:val="22"/>
        </w:rPr>
        <w:t> </w:t>
      </w:r>
      <w:r>
        <w:rPr>
          <w:sz w:val="22"/>
        </w:rPr>
        <w:t>location.</w:t>
      </w:r>
    </w:p>
    <w:p>
      <w:pPr>
        <w:pStyle w:val="ListParagraph"/>
        <w:numPr>
          <w:ilvl w:val="1"/>
          <w:numId w:val="4"/>
        </w:numPr>
        <w:tabs>
          <w:tab w:pos="1201" w:val="left" w:leader="none"/>
        </w:tabs>
        <w:spacing w:line="480" w:lineRule="auto" w:before="4" w:after="0"/>
        <w:ind w:left="1200" w:right="479" w:hanging="360"/>
        <w:jc w:val="both"/>
        <w:rPr>
          <w:sz w:val="22"/>
        </w:rPr>
      </w:pPr>
      <w:r>
        <w:rPr>
          <w:sz w:val="22"/>
        </w:rPr>
        <w:t>Provide an organizational chart of your proposed team. Provide background information on</w:t>
      </w:r>
      <w:r>
        <w:rPr>
          <w:spacing w:val="-9"/>
          <w:sz w:val="22"/>
        </w:rPr>
        <w:t> </w:t>
      </w:r>
      <w:r>
        <w:rPr>
          <w:sz w:val="22"/>
        </w:rPr>
        <w:t>all</w:t>
      </w:r>
      <w:r>
        <w:rPr>
          <w:spacing w:val="-9"/>
          <w:sz w:val="22"/>
        </w:rPr>
        <w:t> </w:t>
      </w:r>
      <w:r>
        <w:rPr>
          <w:sz w:val="22"/>
        </w:rPr>
        <w:t>the</w:t>
      </w:r>
      <w:r>
        <w:rPr>
          <w:spacing w:val="-10"/>
          <w:sz w:val="22"/>
        </w:rPr>
        <w:t> </w:t>
      </w:r>
      <w:r>
        <w:rPr>
          <w:sz w:val="22"/>
        </w:rPr>
        <w:t>staff</w:t>
      </w:r>
      <w:r>
        <w:rPr>
          <w:spacing w:val="-4"/>
          <w:sz w:val="22"/>
        </w:rPr>
        <w:t> </w:t>
      </w:r>
      <w:r>
        <w:rPr>
          <w:sz w:val="22"/>
        </w:rPr>
        <w:t>who</w:t>
      </w:r>
      <w:r>
        <w:rPr>
          <w:spacing w:val="-6"/>
          <w:sz w:val="22"/>
        </w:rPr>
        <w:t> </w:t>
      </w:r>
      <w:r>
        <w:rPr>
          <w:sz w:val="22"/>
        </w:rPr>
        <w:t>will</w:t>
      </w:r>
      <w:r>
        <w:rPr>
          <w:spacing w:val="-7"/>
          <w:sz w:val="22"/>
        </w:rPr>
        <w:t> </w:t>
      </w:r>
      <w:r>
        <w:rPr>
          <w:sz w:val="22"/>
        </w:rPr>
        <w:t>be</w:t>
      </w:r>
      <w:r>
        <w:rPr>
          <w:spacing w:val="-8"/>
          <w:sz w:val="22"/>
        </w:rPr>
        <w:t> </w:t>
      </w:r>
      <w:r>
        <w:rPr>
          <w:sz w:val="22"/>
        </w:rPr>
        <w:t>involved</w:t>
      </w:r>
      <w:r>
        <w:rPr>
          <w:spacing w:val="-6"/>
          <w:sz w:val="22"/>
        </w:rPr>
        <w:t> </w:t>
      </w:r>
      <w:r>
        <w:rPr>
          <w:sz w:val="22"/>
        </w:rPr>
        <w:t>in</w:t>
      </w:r>
      <w:r>
        <w:rPr>
          <w:spacing w:val="-6"/>
          <w:sz w:val="22"/>
        </w:rPr>
        <w:t> </w:t>
      </w:r>
      <w:r>
        <w:rPr>
          <w:sz w:val="22"/>
        </w:rPr>
        <w:t>providing</w:t>
      </w:r>
      <w:r>
        <w:rPr>
          <w:spacing w:val="-4"/>
          <w:sz w:val="22"/>
        </w:rPr>
        <w:t> </w:t>
      </w:r>
      <w:r>
        <w:rPr>
          <w:sz w:val="22"/>
        </w:rPr>
        <w:t>services</w:t>
      </w:r>
      <w:r>
        <w:rPr>
          <w:spacing w:val="-6"/>
          <w:sz w:val="22"/>
        </w:rPr>
        <w:t> </w:t>
      </w:r>
      <w:r>
        <w:rPr>
          <w:sz w:val="22"/>
        </w:rPr>
        <w:t>under</w:t>
      </w:r>
      <w:r>
        <w:rPr>
          <w:spacing w:val="-8"/>
          <w:sz w:val="22"/>
        </w:rPr>
        <w:t> </w:t>
      </w:r>
      <w:r>
        <w:rPr>
          <w:sz w:val="22"/>
        </w:rPr>
        <w:t>the</w:t>
      </w:r>
      <w:r>
        <w:rPr>
          <w:spacing w:val="-6"/>
          <w:sz w:val="22"/>
        </w:rPr>
        <w:t> </w:t>
      </w:r>
      <w:r>
        <w:rPr>
          <w:sz w:val="22"/>
        </w:rPr>
        <w:t>engagement</w:t>
      </w:r>
      <w:r>
        <w:rPr>
          <w:spacing w:val="-7"/>
          <w:sz w:val="22"/>
        </w:rPr>
        <w:t> </w:t>
      </w:r>
      <w:r>
        <w:rPr>
          <w:sz w:val="22"/>
        </w:rPr>
        <w:t>(including Bill Review and Utilization Review staff). Describe the roles they would play in the engagement, their experience in the claims administration, specifically with the public sector, their professional certifications, and their years of service to the</w:t>
      </w:r>
      <w:r>
        <w:rPr>
          <w:spacing w:val="-16"/>
          <w:sz w:val="22"/>
        </w:rPr>
        <w:t> </w:t>
      </w:r>
      <w:r>
        <w:rPr>
          <w:sz w:val="22"/>
        </w:rPr>
        <w:t>TPA.</w:t>
      </w:r>
    </w:p>
    <w:p>
      <w:pPr>
        <w:pStyle w:val="ListParagraph"/>
        <w:numPr>
          <w:ilvl w:val="1"/>
          <w:numId w:val="4"/>
        </w:numPr>
        <w:tabs>
          <w:tab w:pos="1201" w:val="left" w:leader="none"/>
        </w:tabs>
        <w:spacing w:line="480" w:lineRule="auto" w:before="0" w:after="0"/>
        <w:ind w:left="1200" w:right="481" w:hanging="360"/>
        <w:jc w:val="both"/>
        <w:rPr>
          <w:sz w:val="22"/>
        </w:rPr>
      </w:pPr>
      <w:r>
        <w:rPr>
          <w:sz w:val="22"/>
        </w:rPr>
        <w:t>Claims can be adversely affected by a lack of aggressive handing resulting in inflated, pending, and possibly more costly resolutions. What do you have in place to</w:t>
      </w:r>
      <w:r>
        <w:rPr>
          <w:spacing w:val="-11"/>
          <w:sz w:val="22"/>
        </w:rPr>
        <w:t> </w:t>
      </w:r>
      <w:r>
        <w:rPr>
          <w:sz w:val="22"/>
        </w:rPr>
        <w:t>ensure</w:t>
      </w:r>
    </w:p>
    <w:p>
      <w:pPr>
        <w:spacing w:after="0" w:line="480" w:lineRule="auto"/>
        <w:jc w:val="both"/>
        <w:rPr>
          <w:sz w:val="22"/>
        </w:rPr>
        <w:sectPr>
          <w:pgSz w:w="12240" w:h="15840"/>
          <w:pgMar w:header="0" w:footer="1248" w:top="740" w:bottom="1440" w:left="960" w:right="960"/>
        </w:sectPr>
      </w:pPr>
    </w:p>
    <w:p>
      <w:pPr>
        <w:pStyle w:val="BodyText"/>
        <w:spacing w:line="477" w:lineRule="auto" w:before="73"/>
        <w:ind w:left="1200" w:right="480"/>
      </w:pPr>
      <w:r>
        <w:rPr/>
        <w:pict>
          <v:group style="position:absolute;margin-left:26.160002pt;margin-top:26.160002pt;width:561.85pt;height:741.85pt;mso-position-horizontal-relative:page;mso-position-vertical-relative:page;z-index:-253966336" coordorigin="523,523" coordsize="11237,14837">
            <v:line style="position:absolute" from="523,545" to="11674,545" stroked="true" strokeweight="2.159998pt" strokecolor="#000000">
              <v:stroke dashstyle="solid"/>
            </v:line>
            <v:rect style="position:absolute;left:11673;top:523;width:44;height:44" filled="true" fillcolor="#000000" stroked="false">
              <v:fill type="solid"/>
            </v:rect>
            <v:line style="position:absolute" from="545,566" to="545,15317" stroked="true" strokeweight="2.159998pt" strokecolor="#000000">
              <v:stroke dashstyle="solid"/>
            </v:line>
            <v:line style="position:absolute" from="11717,566" to="11717,15274" stroked="true" strokeweight="4.320008pt" strokecolor="#000000">
              <v:stroke dashstyle="solid"/>
            </v:line>
            <v:line style="position:absolute" from="566,15317" to="11674,15317" stroked="true" strokeweight="4.320008pt" strokecolor="#000000">
              <v:stroke dashstyle="solid"/>
            </v:line>
            <v:shape style="position:absolute;left:11673;top:15273;width:87;height:87" coordorigin="11674,15274" coordsize="87,87" path="m11760,15274l11717,15274,11674,15274,11674,15317,11674,15360,11717,15360,11760,15360,11760,15317,11760,15274e" filled="true" fillcolor="#000000" stroked="false">
              <v:path arrowok="t"/>
              <v:fill type="solid"/>
            </v:shape>
            <w10:wrap type="none"/>
          </v:group>
        </w:pict>
      </w:r>
      <w:r>
        <w:rPr/>
        <w:t>aggressive, proactive claims handling on all files by all your staff? What flags trigger the claims adjuster to become more aggressive in moving claims to closure?</w:t>
      </w:r>
    </w:p>
    <w:p>
      <w:pPr>
        <w:pStyle w:val="ListParagraph"/>
        <w:numPr>
          <w:ilvl w:val="1"/>
          <w:numId w:val="4"/>
        </w:numPr>
        <w:tabs>
          <w:tab w:pos="1201" w:val="left" w:leader="none"/>
        </w:tabs>
        <w:spacing w:line="240" w:lineRule="auto" w:before="4" w:after="0"/>
        <w:ind w:left="1200" w:right="0" w:hanging="361"/>
        <w:jc w:val="both"/>
        <w:rPr>
          <w:sz w:val="22"/>
        </w:rPr>
      </w:pPr>
      <w:r>
        <w:rPr>
          <w:sz w:val="22"/>
        </w:rPr>
        <w:t>Describe your efforts to reduce or resolve older</w:t>
      </w:r>
      <w:r>
        <w:rPr>
          <w:spacing w:val="-3"/>
          <w:sz w:val="22"/>
        </w:rPr>
        <w:t> </w:t>
      </w:r>
      <w:r>
        <w:rPr>
          <w:sz w:val="22"/>
        </w:rPr>
        <w:t>claims.</w:t>
      </w:r>
    </w:p>
    <w:p>
      <w:pPr>
        <w:pStyle w:val="BodyText"/>
      </w:pPr>
    </w:p>
    <w:p>
      <w:pPr>
        <w:pStyle w:val="ListParagraph"/>
        <w:numPr>
          <w:ilvl w:val="1"/>
          <w:numId w:val="4"/>
        </w:numPr>
        <w:tabs>
          <w:tab w:pos="1201" w:val="left" w:leader="none"/>
        </w:tabs>
        <w:spacing w:line="480" w:lineRule="auto" w:before="0" w:after="0"/>
        <w:ind w:left="1200" w:right="482" w:hanging="360"/>
        <w:jc w:val="both"/>
        <w:rPr>
          <w:sz w:val="22"/>
        </w:rPr>
      </w:pPr>
      <w:r>
        <w:rPr>
          <w:sz w:val="22"/>
        </w:rPr>
        <w:t>Describe your staffing model and caseloads including your approach on the assignment of</w:t>
      </w:r>
      <w:r>
        <w:rPr>
          <w:spacing w:val="-6"/>
          <w:sz w:val="22"/>
        </w:rPr>
        <w:t> </w:t>
      </w:r>
      <w:r>
        <w:rPr>
          <w:sz w:val="22"/>
        </w:rPr>
        <w:t>medical</w:t>
      </w:r>
      <w:r>
        <w:rPr>
          <w:spacing w:val="-11"/>
          <w:sz w:val="22"/>
        </w:rPr>
        <w:t> </w:t>
      </w:r>
      <w:r>
        <w:rPr>
          <w:sz w:val="22"/>
        </w:rPr>
        <w:t>only,</w:t>
      </w:r>
      <w:r>
        <w:rPr>
          <w:spacing w:val="-8"/>
          <w:sz w:val="22"/>
        </w:rPr>
        <w:t> </w:t>
      </w:r>
      <w:r>
        <w:rPr>
          <w:sz w:val="22"/>
        </w:rPr>
        <w:t>indemnity/lost</w:t>
      </w:r>
      <w:r>
        <w:rPr>
          <w:spacing w:val="-9"/>
          <w:sz w:val="22"/>
        </w:rPr>
        <w:t> </w:t>
      </w:r>
      <w:r>
        <w:rPr>
          <w:sz w:val="22"/>
        </w:rPr>
        <w:t>time</w:t>
      </w:r>
      <w:r>
        <w:rPr>
          <w:spacing w:val="-12"/>
          <w:sz w:val="22"/>
        </w:rPr>
        <w:t> </w:t>
      </w:r>
      <w:r>
        <w:rPr>
          <w:sz w:val="22"/>
        </w:rPr>
        <w:t>and</w:t>
      </w:r>
      <w:r>
        <w:rPr>
          <w:spacing w:val="-15"/>
          <w:sz w:val="22"/>
        </w:rPr>
        <w:t> </w:t>
      </w:r>
      <w:r>
        <w:rPr>
          <w:sz w:val="22"/>
        </w:rPr>
        <w:t>future</w:t>
      </w:r>
      <w:r>
        <w:rPr>
          <w:spacing w:val="-14"/>
          <w:sz w:val="22"/>
        </w:rPr>
        <w:t> </w:t>
      </w:r>
      <w:r>
        <w:rPr>
          <w:sz w:val="22"/>
        </w:rPr>
        <w:t>medical</w:t>
      </w:r>
      <w:r>
        <w:rPr>
          <w:spacing w:val="-11"/>
          <w:sz w:val="22"/>
        </w:rPr>
        <w:t> </w:t>
      </w:r>
      <w:r>
        <w:rPr>
          <w:sz w:val="22"/>
        </w:rPr>
        <w:t>cases.</w:t>
      </w:r>
      <w:r>
        <w:rPr>
          <w:spacing w:val="39"/>
          <w:sz w:val="22"/>
        </w:rPr>
        <w:t> </w:t>
      </w:r>
      <w:r>
        <w:rPr>
          <w:sz w:val="22"/>
        </w:rPr>
        <w:t>Include</w:t>
      </w:r>
      <w:r>
        <w:rPr>
          <w:spacing w:val="-11"/>
          <w:sz w:val="22"/>
        </w:rPr>
        <w:t> </w:t>
      </w:r>
      <w:r>
        <w:rPr>
          <w:sz w:val="22"/>
        </w:rPr>
        <w:t>the</w:t>
      </w:r>
      <w:r>
        <w:rPr>
          <w:spacing w:val="-16"/>
          <w:sz w:val="22"/>
        </w:rPr>
        <w:t> </w:t>
      </w:r>
      <w:r>
        <w:rPr>
          <w:sz w:val="22"/>
        </w:rPr>
        <w:t>optimal</w:t>
      </w:r>
      <w:r>
        <w:rPr>
          <w:spacing w:val="-11"/>
          <w:sz w:val="22"/>
        </w:rPr>
        <w:t> </w:t>
      </w:r>
      <w:r>
        <w:rPr>
          <w:sz w:val="22"/>
        </w:rPr>
        <w:t>number of claims per adjustor, and number of adjustors per</w:t>
      </w:r>
      <w:r>
        <w:rPr>
          <w:spacing w:val="-3"/>
          <w:sz w:val="22"/>
        </w:rPr>
        <w:t> </w:t>
      </w:r>
      <w:r>
        <w:rPr>
          <w:sz w:val="22"/>
        </w:rPr>
        <w:t>supervisor.</w:t>
      </w:r>
    </w:p>
    <w:p>
      <w:pPr>
        <w:pStyle w:val="ListParagraph"/>
        <w:numPr>
          <w:ilvl w:val="1"/>
          <w:numId w:val="4"/>
        </w:numPr>
        <w:tabs>
          <w:tab w:pos="1201" w:val="left" w:leader="none"/>
        </w:tabs>
        <w:spacing w:line="480" w:lineRule="auto" w:before="0" w:after="0"/>
        <w:ind w:left="1200" w:right="485" w:hanging="360"/>
        <w:jc w:val="both"/>
        <w:rPr>
          <w:sz w:val="22"/>
        </w:rPr>
      </w:pPr>
      <w:r>
        <w:rPr>
          <w:sz w:val="22"/>
        </w:rPr>
        <w:t>Comment on the availability of resources during the absence of assigned staff. Describe how your adjustor’s work is supervised. How often does the supervisor monitor active claims?</w:t>
      </w:r>
    </w:p>
    <w:p>
      <w:pPr>
        <w:pStyle w:val="ListParagraph"/>
        <w:numPr>
          <w:ilvl w:val="1"/>
          <w:numId w:val="4"/>
        </w:numPr>
        <w:tabs>
          <w:tab w:pos="1201" w:val="left" w:leader="none"/>
        </w:tabs>
        <w:spacing w:line="480" w:lineRule="auto" w:before="1" w:after="0"/>
        <w:ind w:left="1200" w:right="486" w:hanging="360"/>
        <w:jc w:val="both"/>
        <w:rPr>
          <w:sz w:val="22"/>
        </w:rPr>
      </w:pPr>
      <w:r>
        <w:rPr>
          <w:sz w:val="22"/>
        </w:rPr>
        <w:t>Would the supervisor assigned to the City’s account handle an active caseload? If yes, what is the number of</w:t>
      </w:r>
      <w:r>
        <w:rPr>
          <w:spacing w:val="3"/>
          <w:sz w:val="22"/>
        </w:rPr>
        <w:t> </w:t>
      </w:r>
      <w:r>
        <w:rPr>
          <w:sz w:val="22"/>
        </w:rPr>
        <w:t>claims?</w:t>
      </w:r>
    </w:p>
    <w:p>
      <w:pPr>
        <w:pStyle w:val="ListParagraph"/>
        <w:numPr>
          <w:ilvl w:val="1"/>
          <w:numId w:val="4"/>
        </w:numPr>
        <w:tabs>
          <w:tab w:pos="1201" w:val="left" w:leader="none"/>
        </w:tabs>
        <w:spacing w:line="480" w:lineRule="auto" w:before="0" w:after="0"/>
        <w:ind w:left="1200" w:right="483" w:hanging="360"/>
        <w:jc w:val="both"/>
        <w:rPr>
          <w:sz w:val="22"/>
        </w:rPr>
      </w:pPr>
      <w:r>
        <w:rPr>
          <w:sz w:val="22"/>
        </w:rPr>
        <w:t>Please provide the turnover rate for examiners, supervisors, managers and support staff in the office you are proposing to handle the City of Escondido</w:t>
      </w:r>
      <w:r>
        <w:rPr>
          <w:spacing w:val="-6"/>
          <w:sz w:val="22"/>
        </w:rPr>
        <w:t> </w:t>
      </w:r>
      <w:r>
        <w:rPr>
          <w:sz w:val="22"/>
        </w:rPr>
        <w:t>programs.</w:t>
      </w:r>
    </w:p>
    <w:p>
      <w:pPr>
        <w:pStyle w:val="ListParagraph"/>
        <w:numPr>
          <w:ilvl w:val="1"/>
          <w:numId w:val="4"/>
        </w:numPr>
        <w:tabs>
          <w:tab w:pos="1262" w:val="left" w:leader="none"/>
        </w:tabs>
        <w:spacing w:line="240" w:lineRule="auto" w:before="0" w:after="0"/>
        <w:ind w:left="1261" w:right="0" w:hanging="422"/>
        <w:jc w:val="both"/>
        <w:rPr>
          <w:sz w:val="22"/>
        </w:rPr>
      </w:pPr>
      <w:r>
        <w:rPr>
          <w:sz w:val="22"/>
        </w:rPr>
        <w:t>Describe any plans or incentives to attract and maintain high quality</w:t>
      </w:r>
      <w:r>
        <w:rPr>
          <w:spacing w:val="-12"/>
          <w:sz w:val="22"/>
        </w:rPr>
        <w:t> </w:t>
      </w:r>
      <w:r>
        <w:rPr>
          <w:sz w:val="22"/>
        </w:rPr>
        <w:t>staff.</w:t>
      </w:r>
    </w:p>
    <w:p>
      <w:pPr>
        <w:pStyle w:val="BodyText"/>
        <w:spacing w:before="11"/>
        <w:rPr>
          <w:sz w:val="21"/>
        </w:rPr>
      </w:pPr>
    </w:p>
    <w:p>
      <w:pPr>
        <w:pStyle w:val="ListParagraph"/>
        <w:numPr>
          <w:ilvl w:val="1"/>
          <w:numId w:val="4"/>
        </w:numPr>
        <w:tabs>
          <w:tab w:pos="1201" w:val="left" w:leader="none"/>
        </w:tabs>
        <w:spacing w:line="480" w:lineRule="auto" w:before="0" w:after="0"/>
        <w:ind w:left="1200" w:right="485" w:hanging="360"/>
        <w:jc w:val="both"/>
        <w:rPr>
          <w:sz w:val="22"/>
        </w:rPr>
      </w:pPr>
      <w:r>
        <w:rPr>
          <w:sz w:val="22"/>
        </w:rPr>
        <w:t>Are personnel assigned to this engagement knowledgeable of all applicable California statues with regards to workers’ claims administration? Describe training that is</w:t>
      </w:r>
      <w:r>
        <w:rPr>
          <w:spacing w:val="-35"/>
          <w:sz w:val="22"/>
        </w:rPr>
        <w:t> </w:t>
      </w:r>
      <w:r>
        <w:rPr>
          <w:sz w:val="22"/>
        </w:rPr>
        <w:t>expected or provide to your</w:t>
      </w:r>
      <w:r>
        <w:rPr>
          <w:spacing w:val="2"/>
          <w:sz w:val="22"/>
        </w:rPr>
        <w:t> </w:t>
      </w:r>
      <w:r>
        <w:rPr>
          <w:sz w:val="22"/>
        </w:rPr>
        <w:t>personnel.</w:t>
      </w:r>
    </w:p>
    <w:p>
      <w:pPr>
        <w:pStyle w:val="ListParagraph"/>
        <w:numPr>
          <w:ilvl w:val="1"/>
          <w:numId w:val="4"/>
        </w:numPr>
        <w:tabs>
          <w:tab w:pos="1201" w:val="left" w:leader="none"/>
        </w:tabs>
        <w:spacing w:line="480" w:lineRule="auto" w:before="0" w:after="0"/>
        <w:ind w:left="1200" w:right="483" w:hanging="360"/>
        <w:jc w:val="both"/>
        <w:rPr>
          <w:sz w:val="22"/>
        </w:rPr>
      </w:pPr>
      <w:r>
        <w:rPr>
          <w:sz w:val="22"/>
        </w:rPr>
        <w:t>Describe the training that is expected of your clients. How long is the average time to be trained?</w:t>
      </w:r>
    </w:p>
    <w:p>
      <w:pPr>
        <w:pStyle w:val="ListParagraph"/>
        <w:numPr>
          <w:ilvl w:val="1"/>
          <w:numId w:val="4"/>
        </w:numPr>
        <w:tabs>
          <w:tab w:pos="1201" w:val="left" w:leader="none"/>
        </w:tabs>
        <w:spacing w:line="480" w:lineRule="auto" w:before="0" w:after="0"/>
        <w:ind w:left="1200" w:right="481" w:hanging="360"/>
        <w:jc w:val="both"/>
        <w:rPr>
          <w:sz w:val="22"/>
        </w:rPr>
      </w:pPr>
      <w:r>
        <w:rPr>
          <w:sz w:val="22"/>
        </w:rPr>
        <w:t>Describe steps you would take to facilitate the transfer of claims administration for an effective date of July 1, 2021, and items you would need to accomplish to ensure uninterrupted benefit delivery to injured</w:t>
      </w:r>
      <w:r>
        <w:rPr>
          <w:spacing w:val="-7"/>
          <w:sz w:val="22"/>
        </w:rPr>
        <w:t> </w:t>
      </w:r>
      <w:r>
        <w:rPr>
          <w:sz w:val="22"/>
        </w:rPr>
        <w:t>workers.</w:t>
      </w:r>
    </w:p>
    <w:p>
      <w:pPr>
        <w:pStyle w:val="ListParagraph"/>
        <w:numPr>
          <w:ilvl w:val="1"/>
          <w:numId w:val="4"/>
        </w:numPr>
        <w:tabs>
          <w:tab w:pos="1201" w:val="left" w:leader="none"/>
        </w:tabs>
        <w:spacing w:line="480" w:lineRule="auto" w:before="0" w:after="0"/>
        <w:ind w:left="1200" w:right="483" w:hanging="360"/>
        <w:jc w:val="both"/>
        <w:rPr>
          <w:sz w:val="22"/>
        </w:rPr>
      </w:pPr>
      <w:r>
        <w:rPr>
          <w:sz w:val="22"/>
        </w:rPr>
        <w:t>Please provide three recent examples of data conversion performed by your firm and/or its contractors and the timeframes for completion from inception to completion. Please indicate any potential changes you foresee in converting data. What were the challenges that you</w:t>
      </w:r>
      <w:r>
        <w:rPr>
          <w:spacing w:val="-2"/>
          <w:sz w:val="22"/>
        </w:rPr>
        <w:t> </w:t>
      </w:r>
      <w:r>
        <w:rPr>
          <w:sz w:val="22"/>
        </w:rPr>
        <w:t>faced?</w:t>
      </w:r>
    </w:p>
    <w:p>
      <w:pPr>
        <w:spacing w:after="0" w:line="480" w:lineRule="auto"/>
        <w:jc w:val="both"/>
        <w:rPr>
          <w:sz w:val="22"/>
        </w:rPr>
        <w:sectPr>
          <w:footerReference w:type="default" r:id="rId11"/>
          <w:pgSz w:w="12240" w:h="15840"/>
          <w:pgMar w:footer="1248" w:header="0" w:top="740" w:bottom="1440" w:left="960" w:right="960"/>
        </w:sectPr>
      </w:pPr>
    </w:p>
    <w:p>
      <w:pPr>
        <w:pStyle w:val="ListParagraph"/>
        <w:numPr>
          <w:ilvl w:val="1"/>
          <w:numId w:val="4"/>
        </w:numPr>
        <w:tabs>
          <w:tab w:pos="1201" w:val="left" w:leader="none"/>
        </w:tabs>
        <w:spacing w:line="477" w:lineRule="auto" w:before="73" w:after="0"/>
        <w:ind w:left="1200" w:right="482" w:hanging="360"/>
        <w:jc w:val="both"/>
        <w:rPr>
          <w:sz w:val="22"/>
        </w:rPr>
      </w:pPr>
      <w:r>
        <w:rPr/>
        <w:pict>
          <v:group style="position:absolute;margin-left:26.160002pt;margin-top:26.160002pt;width:561.85pt;height:741.85pt;mso-position-horizontal-relative:page;mso-position-vertical-relative:page;z-index:-253965312" coordorigin="523,523" coordsize="11237,14837">
            <v:line style="position:absolute" from="523,545" to="11674,545" stroked="true" strokeweight="2.159998pt" strokecolor="#000000">
              <v:stroke dashstyle="solid"/>
            </v:line>
            <v:rect style="position:absolute;left:11673;top:523;width:44;height:44" filled="true" fillcolor="#000000" stroked="false">
              <v:fill type="solid"/>
            </v:rect>
            <v:line style="position:absolute" from="545,566" to="545,15317" stroked="true" strokeweight="2.159998pt" strokecolor="#000000">
              <v:stroke dashstyle="solid"/>
            </v:line>
            <v:line style="position:absolute" from="11717,566" to="11717,15274" stroked="true" strokeweight="4.320008pt" strokecolor="#000000">
              <v:stroke dashstyle="solid"/>
            </v:line>
            <v:line style="position:absolute" from="566,15317" to="11674,15317" stroked="true" strokeweight="4.320008pt" strokecolor="#000000">
              <v:stroke dashstyle="solid"/>
            </v:line>
            <v:shape style="position:absolute;left:11673;top:15273;width:87;height:87" coordorigin="11674,15274" coordsize="87,87" path="m11760,15274l11717,15274,11674,15274,11674,15317,11674,15360,11717,15360,11760,15360,11760,15317,11760,15274e" filled="true" fillcolor="#000000" stroked="false">
              <v:path arrowok="t"/>
              <v:fill type="solid"/>
            </v:shape>
            <w10:wrap type="none"/>
          </v:group>
        </w:pict>
      </w:r>
      <w:r>
        <w:rPr>
          <w:sz w:val="22"/>
        </w:rPr>
        <w:t>What is the last client you lost and what reason did they offer for taking their business elsewhere?</w:t>
      </w:r>
    </w:p>
    <w:p>
      <w:pPr>
        <w:pStyle w:val="ListParagraph"/>
        <w:numPr>
          <w:ilvl w:val="1"/>
          <w:numId w:val="4"/>
        </w:numPr>
        <w:tabs>
          <w:tab w:pos="1201" w:val="left" w:leader="none"/>
        </w:tabs>
        <w:spacing w:line="480" w:lineRule="auto" w:before="4" w:after="0"/>
        <w:ind w:left="1200" w:right="484" w:hanging="360"/>
        <w:jc w:val="both"/>
        <w:rPr>
          <w:sz w:val="22"/>
        </w:rPr>
      </w:pPr>
      <w:r>
        <w:rPr>
          <w:sz w:val="22"/>
        </w:rPr>
        <w:t>Describe how claims get reported to your claims department. How soon do new claims reach your examiners?</w:t>
      </w:r>
    </w:p>
    <w:p>
      <w:pPr>
        <w:pStyle w:val="ListParagraph"/>
        <w:numPr>
          <w:ilvl w:val="1"/>
          <w:numId w:val="4"/>
        </w:numPr>
        <w:tabs>
          <w:tab w:pos="1201" w:val="left" w:leader="none"/>
        </w:tabs>
        <w:spacing w:line="480" w:lineRule="auto" w:before="1" w:after="0"/>
        <w:ind w:left="1200" w:right="484" w:hanging="360"/>
        <w:jc w:val="both"/>
        <w:rPr>
          <w:sz w:val="22"/>
        </w:rPr>
      </w:pPr>
      <w:r>
        <w:rPr>
          <w:sz w:val="22"/>
        </w:rPr>
        <w:t>Provide information on the functionality of your claims management system and whether or not you allow client access. Are there any restrictions to the</w:t>
      </w:r>
      <w:r>
        <w:rPr>
          <w:spacing w:val="-11"/>
          <w:sz w:val="22"/>
        </w:rPr>
        <w:t> </w:t>
      </w:r>
      <w:r>
        <w:rPr>
          <w:sz w:val="22"/>
        </w:rPr>
        <w:t>data?</w:t>
      </w:r>
    </w:p>
    <w:p>
      <w:pPr>
        <w:pStyle w:val="ListParagraph"/>
        <w:numPr>
          <w:ilvl w:val="1"/>
          <w:numId w:val="4"/>
        </w:numPr>
        <w:tabs>
          <w:tab w:pos="1201" w:val="left" w:leader="none"/>
        </w:tabs>
        <w:spacing w:line="480" w:lineRule="auto" w:before="0" w:after="0"/>
        <w:ind w:left="1200" w:right="486" w:hanging="360"/>
        <w:jc w:val="both"/>
        <w:rPr>
          <w:sz w:val="22"/>
        </w:rPr>
      </w:pPr>
      <w:r>
        <w:rPr>
          <w:sz w:val="22"/>
        </w:rPr>
        <w:t>Describe your security and confidentiality measures and how these comply with HIPAA rules related to workers’ compensation claims</w:t>
      </w:r>
      <w:r>
        <w:rPr>
          <w:spacing w:val="-5"/>
          <w:sz w:val="22"/>
        </w:rPr>
        <w:t> </w:t>
      </w:r>
      <w:r>
        <w:rPr>
          <w:sz w:val="22"/>
        </w:rPr>
        <w:t>administration.</w:t>
      </w:r>
    </w:p>
    <w:p>
      <w:pPr>
        <w:pStyle w:val="ListParagraph"/>
        <w:numPr>
          <w:ilvl w:val="1"/>
          <w:numId w:val="4"/>
        </w:numPr>
        <w:tabs>
          <w:tab w:pos="1201" w:val="left" w:leader="none"/>
        </w:tabs>
        <w:spacing w:line="480" w:lineRule="auto" w:before="0" w:after="0"/>
        <w:ind w:left="1200" w:right="482" w:hanging="360"/>
        <w:jc w:val="both"/>
        <w:rPr>
          <w:sz w:val="22"/>
        </w:rPr>
      </w:pPr>
      <w:r>
        <w:rPr>
          <w:sz w:val="22"/>
        </w:rPr>
        <w:t>Describe your firm’s claims management information system, including bill payment, on- line</w:t>
      </w:r>
      <w:r>
        <w:rPr>
          <w:spacing w:val="-15"/>
          <w:sz w:val="22"/>
        </w:rPr>
        <w:t> </w:t>
      </w:r>
      <w:r>
        <w:rPr>
          <w:sz w:val="22"/>
        </w:rPr>
        <w:t>5020</w:t>
      </w:r>
      <w:r>
        <w:rPr>
          <w:spacing w:val="-16"/>
          <w:sz w:val="22"/>
        </w:rPr>
        <w:t> </w:t>
      </w:r>
      <w:r>
        <w:rPr>
          <w:sz w:val="22"/>
        </w:rPr>
        <w:t>reporting,</w:t>
      </w:r>
      <w:r>
        <w:rPr>
          <w:spacing w:val="-16"/>
          <w:sz w:val="22"/>
        </w:rPr>
        <w:t> </w:t>
      </w:r>
      <w:r>
        <w:rPr>
          <w:sz w:val="22"/>
        </w:rPr>
        <w:t>and</w:t>
      </w:r>
      <w:r>
        <w:rPr>
          <w:spacing w:val="-19"/>
          <w:sz w:val="22"/>
        </w:rPr>
        <w:t> </w:t>
      </w:r>
      <w:r>
        <w:rPr>
          <w:sz w:val="22"/>
        </w:rPr>
        <w:t>ISO</w:t>
      </w:r>
      <w:r>
        <w:rPr>
          <w:spacing w:val="-15"/>
          <w:sz w:val="22"/>
        </w:rPr>
        <w:t> </w:t>
      </w:r>
      <w:r>
        <w:rPr>
          <w:sz w:val="22"/>
        </w:rPr>
        <w:t>claim</w:t>
      </w:r>
      <w:r>
        <w:rPr>
          <w:spacing w:val="-16"/>
          <w:sz w:val="22"/>
        </w:rPr>
        <w:t> </w:t>
      </w:r>
      <w:r>
        <w:rPr>
          <w:sz w:val="22"/>
        </w:rPr>
        <w:t>search,</w:t>
      </w:r>
      <w:r>
        <w:rPr>
          <w:spacing w:val="-17"/>
          <w:sz w:val="22"/>
        </w:rPr>
        <w:t> </w:t>
      </w:r>
      <w:r>
        <w:rPr>
          <w:sz w:val="22"/>
        </w:rPr>
        <w:t>as</w:t>
      </w:r>
      <w:r>
        <w:rPr>
          <w:spacing w:val="-14"/>
          <w:sz w:val="22"/>
        </w:rPr>
        <w:t> </w:t>
      </w:r>
      <w:r>
        <w:rPr>
          <w:sz w:val="22"/>
        </w:rPr>
        <w:t>well</w:t>
      </w:r>
      <w:r>
        <w:rPr>
          <w:spacing w:val="-17"/>
          <w:sz w:val="22"/>
        </w:rPr>
        <w:t> </w:t>
      </w:r>
      <w:r>
        <w:rPr>
          <w:sz w:val="22"/>
        </w:rPr>
        <w:t>as</w:t>
      </w:r>
      <w:r>
        <w:rPr>
          <w:spacing w:val="-15"/>
          <w:sz w:val="22"/>
        </w:rPr>
        <w:t> </w:t>
      </w:r>
      <w:r>
        <w:rPr>
          <w:sz w:val="22"/>
        </w:rPr>
        <w:t>system</w:t>
      </w:r>
      <w:r>
        <w:rPr>
          <w:spacing w:val="-16"/>
          <w:sz w:val="22"/>
        </w:rPr>
        <w:t> </w:t>
      </w:r>
      <w:r>
        <w:rPr>
          <w:sz w:val="22"/>
        </w:rPr>
        <w:t>entries</w:t>
      </w:r>
      <w:r>
        <w:rPr>
          <w:spacing w:val="-15"/>
          <w:sz w:val="22"/>
        </w:rPr>
        <w:t> </w:t>
      </w:r>
      <w:r>
        <w:rPr>
          <w:sz w:val="22"/>
        </w:rPr>
        <w:t>and</w:t>
      </w:r>
      <w:r>
        <w:rPr>
          <w:spacing w:val="-18"/>
          <w:sz w:val="22"/>
        </w:rPr>
        <w:t> </w:t>
      </w:r>
      <w:r>
        <w:rPr>
          <w:sz w:val="22"/>
        </w:rPr>
        <w:t>reports</w:t>
      </w:r>
      <w:r>
        <w:rPr>
          <w:spacing w:val="-20"/>
          <w:sz w:val="22"/>
        </w:rPr>
        <w:t> </w:t>
      </w:r>
      <w:r>
        <w:rPr>
          <w:sz w:val="22"/>
        </w:rPr>
        <w:t>generated by both the TPA and the City. Include how your firm will ensure data integrity while allowing interface with the</w:t>
      </w:r>
      <w:r>
        <w:rPr>
          <w:spacing w:val="6"/>
          <w:sz w:val="22"/>
        </w:rPr>
        <w:t> </w:t>
      </w:r>
      <w:r>
        <w:rPr>
          <w:sz w:val="22"/>
        </w:rPr>
        <w:t>City.</w:t>
      </w:r>
    </w:p>
    <w:p>
      <w:pPr>
        <w:pStyle w:val="ListParagraph"/>
        <w:numPr>
          <w:ilvl w:val="1"/>
          <w:numId w:val="4"/>
        </w:numPr>
        <w:tabs>
          <w:tab w:pos="1201" w:val="left" w:leader="none"/>
        </w:tabs>
        <w:spacing w:line="480" w:lineRule="auto" w:before="0" w:after="0"/>
        <w:ind w:left="1200" w:right="485" w:hanging="360"/>
        <w:jc w:val="both"/>
        <w:rPr>
          <w:sz w:val="22"/>
        </w:rPr>
      </w:pPr>
      <w:r>
        <w:rPr>
          <w:sz w:val="22"/>
        </w:rPr>
        <w:t>Describe the process should your information system have an issue and what measures are done to get Claims processed timely and find a</w:t>
      </w:r>
      <w:r>
        <w:rPr>
          <w:spacing w:val="-17"/>
          <w:sz w:val="22"/>
        </w:rPr>
        <w:t> </w:t>
      </w:r>
      <w:r>
        <w:rPr>
          <w:sz w:val="22"/>
        </w:rPr>
        <w:t>resolution.</w:t>
      </w:r>
    </w:p>
    <w:p>
      <w:pPr>
        <w:pStyle w:val="ListParagraph"/>
        <w:numPr>
          <w:ilvl w:val="1"/>
          <w:numId w:val="4"/>
        </w:numPr>
        <w:tabs>
          <w:tab w:pos="1201" w:val="left" w:leader="none"/>
        </w:tabs>
        <w:spacing w:line="240" w:lineRule="auto" w:before="0" w:after="0"/>
        <w:ind w:left="1200" w:right="0" w:hanging="361"/>
        <w:jc w:val="both"/>
        <w:rPr>
          <w:sz w:val="22"/>
        </w:rPr>
      </w:pPr>
      <w:r>
        <w:rPr>
          <w:sz w:val="22"/>
        </w:rPr>
        <w:t>Describe TPA’s disaster recovery</w:t>
      </w:r>
      <w:r>
        <w:rPr>
          <w:spacing w:val="-7"/>
          <w:sz w:val="22"/>
        </w:rPr>
        <w:t> </w:t>
      </w:r>
      <w:r>
        <w:rPr>
          <w:sz w:val="22"/>
        </w:rPr>
        <w:t>plan.</w:t>
      </w:r>
    </w:p>
    <w:p>
      <w:pPr>
        <w:pStyle w:val="BodyText"/>
      </w:pPr>
    </w:p>
    <w:p>
      <w:pPr>
        <w:pStyle w:val="ListParagraph"/>
        <w:numPr>
          <w:ilvl w:val="1"/>
          <w:numId w:val="4"/>
        </w:numPr>
        <w:tabs>
          <w:tab w:pos="1201" w:val="left" w:leader="none"/>
        </w:tabs>
        <w:spacing w:line="480" w:lineRule="auto" w:before="0" w:after="0"/>
        <w:ind w:left="1200" w:right="482" w:hanging="360"/>
        <w:jc w:val="both"/>
        <w:rPr>
          <w:sz w:val="22"/>
        </w:rPr>
      </w:pPr>
      <w:r>
        <w:rPr>
          <w:sz w:val="22"/>
        </w:rPr>
        <w:t>Provide a detailed outline of the analytical reports you offer and samples. Are reports available</w:t>
      </w:r>
      <w:r>
        <w:rPr>
          <w:spacing w:val="-13"/>
          <w:sz w:val="22"/>
        </w:rPr>
        <w:t> </w:t>
      </w:r>
      <w:r>
        <w:rPr>
          <w:sz w:val="22"/>
        </w:rPr>
        <w:t>on-line?</w:t>
      </w:r>
      <w:r>
        <w:rPr>
          <w:spacing w:val="38"/>
          <w:sz w:val="22"/>
        </w:rPr>
        <w:t> </w:t>
      </w:r>
      <w:r>
        <w:rPr>
          <w:sz w:val="22"/>
        </w:rPr>
        <w:t>How</w:t>
      </w:r>
      <w:r>
        <w:rPr>
          <w:spacing w:val="-15"/>
          <w:sz w:val="22"/>
        </w:rPr>
        <w:t> </w:t>
      </w:r>
      <w:r>
        <w:rPr>
          <w:sz w:val="22"/>
        </w:rPr>
        <w:t>soon</w:t>
      </w:r>
      <w:r>
        <w:rPr>
          <w:spacing w:val="-12"/>
          <w:sz w:val="22"/>
        </w:rPr>
        <w:t> </w:t>
      </w:r>
      <w:r>
        <w:rPr>
          <w:sz w:val="22"/>
        </w:rPr>
        <w:t>after</w:t>
      </w:r>
      <w:r>
        <w:rPr>
          <w:spacing w:val="-13"/>
          <w:sz w:val="22"/>
        </w:rPr>
        <w:t> </w:t>
      </w:r>
      <w:r>
        <w:rPr>
          <w:sz w:val="22"/>
        </w:rPr>
        <w:t>the</w:t>
      </w:r>
      <w:r>
        <w:rPr>
          <w:spacing w:val="-14"/>
          <w:sz w:val="22"/>
        </w:rPr>
        <w:t> </w:t>
      </w:r>
      <w:r>
        <w:rPr>
          <w:sz w:val="22"/>
        </w:rPr>
        <w:t>close</w:t>
      </w:r>
      <w:r>
        <w:rPr>
          <w:spacing w:val="-13"/>
          <w:sz w:val="22"/>
        </w:rPr>
        <w:t> </w:t>
      </w:r>
      <w:r>
        <w:rPr>
          <w:sz w:val="22"/>
        </w:rPr>
        <w:t>of</w:t>
      </w:r>
      <w:r>
        <w:rPr>
          <w:spacing w:val="-11"/>
          <w:sz w:val="22"/>
        </w:rPr>
        <w:t> </w:t>
      </w:r>
      <w:r>
        <w:rPr>
          <w:sz w:val="22"/>
        </w:rPr>
        <w:t>the</w:t>
      </w:r>
      <w:r>
        <w:rPr>
          <w:spacing w:val="-14"/>
          <w:sz w:val="22"/>
        </w:rPr>
        <w:t> </w:t>
      </w:r>
      <w:r>
        <w:rPr>
          <w:sz w:val="22"/>
        </w:rPr>
        <w:t>month</w:t>
      </w:r>
      <w:r>
        <w:rPr>
          <w:spacing w:val="-12"/>
          <w:sz w:val="22"/>
        </w:rPr>
        <w:t> </w:t>
      </w:r>
      <w:r>
        <w:rPr>
          <w:sz w:val="22"/>
        </w:rPr>
        <w:t>are</w:t>
      </w:r>
      <w:r>
        <w:rPr>
          <w:spacing w:val="-14"/>
          <w:sz w:val="22"/>
        </w:rPr>
        <w:t> </w:t>
      </w:r>
      <w:r>
        <w:rPr>
          <w:sz w:val="22"/>
        </w:rPr>
        <w:t>monthly</w:t>
      </w:r>
      <w:r>
        <w:rPr>
          <w:spacing w:val="-14"/>
          <w:sz w:val="22"/>
        </w:rPr>
        <w:t> </w:t>
      </w:r>
      <w:r>
        <w:rPr>
          <w:sz w:val="22"/>
        </w:rPr>
        <w:t>consolidated</w:t>
      </w:r>
      <w:r>
        <w:rPr>
          <w:spacing w:val="-12"/>
          <w:sz w:val="22"/>
        </w:rPr>
        <w:t> </w:t>
      </w:r>
      <w:r>
        <w:rPr>
          <w:sz w:val="22"/>
        </w:rPr>
        <w:t>reports available to your customers? Are reports available in PDF and Excel</w:t>
      </w:r>
      <w:r>
        <w:rPr>
          <w:spacing w:val="-18"/>
          <w:sz w:val="22"/>
        </w:rPr>
        <w:t> </w:t>
      </w:r>
      <w:r>
        <w:rPr>
          <w:sz w:val="22"/>
        </w:rPr>
        <w:t>formats?</w:t>
      </w:r>
    </w:p>
    <w:p>
      <w:pPr>
        <w:pStyle w:val="ListParagraph"/>
        <w:numPr>
          <w:ilvl w:val="1"/>
          <w:numId w:val="4"/>
        </w:numPr>
        <w:tabs>
          <w:tab w:pos="1201" w:val="left" w:leader="none"/>
        </w:tabs>
        <w:spacing w:line="480" w:lineRule="auto" w:before="0" w:after="0"/>
        <w:ind w:left="1200" w:right="486" w:hanging="360"/>
        <w:jc w:val="both"/>
        <w:rPr>
          <w:sz w:val="22"/>
        </w:rPr>
      </w:pPr>
      <w:r>
        <w:rPr>
          <w:sz w:val="22"/>
        </w:rPr>
        <w:t>Describe your communication protocol with clients and injured workers, specifically the role assumed by the claims supervisor and the</w:t>
      </w:r>
      <w:r>
        <w:rPr>
          <w:spacing w:val="-7"/>
          <w:sz w:val="22"/>
        </w:rPr>
        <w:t> </w:t>
      </w:r>
      <w:r>
        <w:rPr>
          <w:sz w:val="22"/>
        </w:rPr>
        <w:t>examiner.</w:t>
      </w:r>
    </w:p>
    <w:p>
      <w:pPr>
        <w:pStyle w:val="ListParagraph"/>
        <w:numPr>
          <w:ilvl w:val="1"/>
          <w:numId w:val="4"/>
        </w:numPr>
        <w:tabs>
          <w:tab w:pos="1201" w:val="left" w:leader="none"/>
        </w:tabs>
        <w:spacing w:line="480" w:lineRule="auto" w:before="0" w:after="0"/>
        <w:ind w:left="1200" w:right="484" w:hanging="360"/>
        <w:jc w:val="both"/>
        <w:rPr>
          <w:sz w:val="22"/>
        </w:rPr>
      </w:pPr>
      <w:r>
        <w:rPr>
          <w:sz w:val="22"/>
        </w:rPr>
        <w:t>What is your standard for responding to written and/or verbal communications with the client? How do you track these</w:t>
      </w:r>
      <w:r>
        <w:rPr>
          <w:spacing w:val="-4"/>
          <w:sz w:val="22"/>
        </w:rPr>
        <w:t> </w:t>
      </w:r>
      <w:r>
        <w:rPr>
          <w:sz w:val="22"/>
        </w:rPr>
        <w:t>communications?</w:t>
      </w:r>
    </w:p>
    <w:p>
      <w:pPr>
        <w:pStyle w:val="ListParagraph"/>
        <w:numPr>
          <w:ilvl w:val="1"/>
          <w:numId w:val="4"/>
        </w:numPr>
        <w:tabs>
          <w:tab w:pos="1201" w:val="left" w:leader="none"/>
        </w:tabs>
        <w:spacing w:line="480" w:lineRule="auto" w:before="0" w:after="0"/>
        <w:ind w:left="1200" w:right="483" w:hanging="360"/>
        <w:jc w:val="both"/>
        <w:rPr>
          <w:sz w:val="22"/>
        </w:rPr>
      </w:pPr>
      <w:r>
        <w:rPr>
          <w:sz w:val="22"/>
        </w:rPr>
        <w:t>Describe the processes unique to your firm that are aimed at maximizing communication with the injured employee early in the</w:t>
      </w:r>
      <w:r>
        <w:rPr>
          <w:spacing w:val="-12"/>
          <w:sz w:val="22"/>
        </w:rPr>
        <w:t> </w:t>
      </w:r>
      <w:r>
        <w:rPr>
          <w:sz w:val="22"/>
        </w:rPr>
        <w:t>claim.</w:t>
      </w:r>
    </w:p>
    <w:p>
      <w:pPr>
        <w:pStyle w:val="ListParagraph"/>
        <w:numPr>
          <w:ilvl w:val="1"/>
          <w:numId w:val="4"/>
        </w:numPr>
        <w:tabs>
          <w:tab w:pos="1201" w:val="left" w:leader="none"/>
        </w:tabs>
        <w:spacing w:line="480" w:lineRule="auto" w:before="0" w:after="0"/>
        <w:ind w:left="1200" w:right="482" w:hanging="360"/>
        <w:jc w:val="both"/>
        <w:rPr>
          <w:sz w:val="22"/>
        </w:rPr>
      </w:pPr>
      <w:r>
        <w:rPr>
          <w:sz w:val="22"/>
        </w:rPr>
        <w:t>Describe your emergency procedures in place to deal with a catastrophic claim or an unusually severe claim. How would your firm provide 24-hour contact information for emergency</w:t>
      </w:r>
      <w:r>
        <w:rPr>
          <w:spacing w:val="-3"/>
          <w:sz w:val="22"/>
        </w:rPr>
        <w:t> </w:t>
      </w:r>
      <w:r>
        <w:rPr>
          <w:sz w:val="22"/>
        </w:rPr>
        <w:t>assistance?</w:t>
      </w:r>
    </w:p>
    <w:p>
      <w:pPr>
        <w:spacing w:after="0" w:line="480" w:lineRule="auto"/>
        <w:jc w:val="both"/>
        <w:rPr>
          <w:sz w:val="22"/>
        </w:rPr>
        <w:sectPr>
          <w:footerReference w:type="default" r:id="rId12"/>
          <w:pgSz w:w="12240" w:h="15840"/>
          <w:pgMar w:footer="1168" w:header="0" w:top="740" w:bottom="1360" w:left="960" w:right="960"/>
          <w:pgNumType w:start="1"/>
        </w:sectPr>
      </w:pPr>
    </w:p>
    <w:p>
      <w:pPr>
        <w:pStyle w:val="ListParagraph"/>
        <w:numPr>
          <w:ilvl w:val="1"/>
          <w:numId w:val="4"/>
        </w:numPr>
        <w:tabs>
          <w:tab w:pos="1201" w:val="left" w:leader="none"/>
        </w:tabs>
        <w:spacing w:line="477" w:lineRule="auto" w:before="73" w:after="0"/>
        <w:ind w:left="1200" w:right="484" w:hanging="360"/>
        <w:jc w:val="left"/>
        <w:rPr>
          <w:sz w:val="22"/>
        </w:rPr>
      </w:pPr>
      <w:r>
        <w:rPr/>
        <w:pict>
          <v:group style="position:absolute;margin-left:26.160002pt;margin-top:26.160002pt;width:561.85pt;height:741.85pt;mso-position-horizontal-relative:page;mso-position-vertical-relative:page;z-index:-253964288" coordorigin="523,523" coordsize="11237,14837">
            <v:line style="position:absolute" from="523,545" to="11674,545" stroked="true" strokeweight="2.159998pt" strokecolor="#000000">
              <v:stroke dashstyle="solid"/>
            </v:line>
            <v:rect style="position:absolute;left:11673;top:523;width:44;height:44" filled="true" fillcolor="#000000" stroked="false">
              <v:fill type="solid"/>
            </v:rect>
            <v:line style="position:absolute" from="545,566" to="545,15317" stroked="true" strokeweight="2.159998pt" strokecolor="#000000">
              <v:stroke dashstyle="solid"/>
            </v:line>
            <v:line style="position:absolute" from="11717,566" to="11717,15274" stroked="true" strokeweight="4.320008pt" strokecolor="#000000">
              <v:stroke dashstyle="solid"/>
            </v:line>
            <v:line style="position:absolute" from="566,15317" to="11674,15317" stroked="true" strokeweight="4.320008pt" strokecolor="#000000">
              <v:stroke dashstyle="solid"/>
            </v:line>
            <v:shape style="position:absolute;left:11673;top:15273;width:87;height:87" coordorigin="11674,15274" coordsize="87,87" path="m11760,15274l11717,15274,11674,15274,11674,15317,11674,15360,11717,15360,11760,15360,11760,15317,11760,15274e" filled="true" fillcolor="#000000" stroked="false">
              <v:path arrowok="t"/>
              <v:fill type="solid"/>
            </v:shape>
            <w10:wrap type="none"/>
          </v:group>
        </w:pict>
      </w:r>
      <w:r>
        <w:rPr>
          <w:sz w:val="22"/>
        </w:rPr>
        <w:t>Provide your firm’s philosophy regarding reserving. When are reserves first noted on the file and at what increments are they</w:t>
      </w:r>
      <w:r>
        <w:rPr>
          <w:spacing w:val="-8"/>
          <w:sz w:val="22"/>
        </w:rPr>
        <w:t> </w:t>
      </w:r>
      <w:r>
        <w:rPr>
          <w:sz w:val="22"/>
        </w:rPr>
        <w:t>adjusted?</w:t>
      </w:r>
    </w:p>
    <w:p>
      <w:pPr>
        <w:pStyle w:val="ListParagraph"/>
        <w:numPr>
          <w:ilvl w:val="1"/>
          <w:numId w:val="4"/>
        </w:numPr>
        <w:tabs>
          <w:tab w:pos="1201" w:val="left" w:leader="none"/>
        </w:tabs>
        <w:spacing w:line="240" w:lineRule="auto" w:before="4" w:after="0"/>
        <w:ind w:left="1200" w:right="0" w:hanging="361"/>
        <w:jc w:val="left"/>
        <w:rPr>
          <w:sz w:val="22"/>
        </w:rPr>
      </w:pPr>
      <w:r>
        <w:rPr>
          <w:sz w:val="22"/>
        </w:rPr>
        <w:t>What are the criteria for designating a claim a “medical only”</w:t>
      </w:r>
      <w:r>
        <w:rPr>
          <w:spacing w:val="-12"/>
          <w:sz w:val="22"/>
        </w:rPr>
        <w:t> </w:t>
      </w:r>
      <w:r>
        <w:rPr>
          <w:sz w:val="22"/>
        </w:rPr>
        <w:t>file?</w:t>
      </w:r>
    </w:p>
    <w:p>
      <w:pPr>
        <w:pStyle w:val="BodyText"/>
      </w:pPr>
    </w:p>
    <w:p>
      <w:pPr>
        <w:pStyle w:val="ListParagraph"/>
        <w:numPr>
          <w:ilvl w:val="1"/>
          <w:numId w:val="4"/>
        </w:numPr>
        <w:tabs>
          <w:tab w:pos="1201" w:val="left" w:leader="none"/>
        </w:tabs>
        <w:spacing w:line="240" w:lineRule="auto" w:before="0" w:after="0"/>
        <w:ind w:left="1200" w:right="0" w:hanging="361"/>
        <w:jc w:val="left"/>
        <w:rPr>
          <w:sz w:val="22"/>
        </w:rPr>
      </w:pPr>
      <w:r>
        <w:rPr>
          <w:sz w:val="22"/>
        </w:rPr>
        <w:t>What are your criteria for converting a medical only file to an indemnity</w:t>
      </w:r>
      <w:r>
        <w:rPr>
          <w:spacing w:val="-18"/>
          <w:sz w:val="22"/>
        </w:rPr>
        <w:t> </w:t>
      </w:r>
      <w:r>
        <w:rPr>
          <w:sz w:val="22"/>
        </w:rPr>
        <w:t>file?</w:t>
      </w:r>
    </w:p>
    <w:p>
      <w:pPr>
        <w:pStyle w:val="BodyText"/>
        <w:spacing w:before="1"/>
      </w:pPr>
    </w:p>
    <w:p>
      <w:pPr>
        <w:pStyle w:val="ListParagraph"/>
        <w:numPr>
          <w:ilvl w:val="1"/>
          <w:numId w:val="4"/>
        </w:numPr>
        <w:tabs>
          <w:tab w:pos="1201" w:val="left" w:leader="none"/>
        </w:tabs>
        <w:spacing w:line="240" w:lineRule="auto" w:before="0" w:after="0"/>
        <w:ind w:left="1200" w:right="0" w:hanging="361"/>
        <w:jc w:val="left"/>
        <w:rPr>
          <w:sz w:val="22"/>
        </w:rPr>
      </w:pPr>
      <w:r>
        <w:rPr>
          <w:sz w:val="22"/>
        </w:rPr>
        <w:t>Describe your process for using utilization review.</w:t>
      </w:r>
    </w:p>
    <w:p>
      <w:pPr>
        <w:pStyle w:val="BodyText"/>
      </w:pPr>
    </w:p>
    <w:p>
      <w:pPr>
        <w:pStyle w:val="ListParagraph"/>
        <w:numPr>
          <w:ilvl w:val="1"/>
          <w:numId w:val="4"/>
        </w:numPr>
        <w:tabs>
          <w:tab w:pos="1201" w:val="left" w:leader="none"/>
        </w:tabs>
        <w:spacing w:line="240" w:lineRule="auto" w:before="0" w:after="0"/>
        <w:ind w:left="1200" w:right="0" w:hanging="361"/>
        <w:jc w:val="left"/>
        <w:rPr>
          <w:sz w:val="22"/>
        </w:rPr>
      </w:pPr>
      <w:r>
        <w:rPr>
          <w:sz w:val="22"/>
        </w:rPr>
        <w:t>Describe how your firm integrates with bill review and utilization review</w:t>
      </w:r>
      <w:r>
        <w:rPr>
          <w:spacing w:val="-7"/>
          <w:sz w:val="22"/>
        </w:rPr>
        <w:t> </w:t>
      </w:r>
      <w:r>
        <w:rPr>
          <w:sz w:val="22"/>
        </w:rPr>
        <w:t>vendors.</w:t>
      </w:r>
    </w:p>
    <w:p>
      <w:pPr>
        <w:pStyle w:val="BodyText"/>
        <w:spacing w:before="10"/>
        <w:rPr>
          <w:sz w:val="21"/>
        </w:rPr>
      </w:pPr>
    </w:p>
    <w:p>
      <w:pPr>
        <w:pStyle w:val="ListParagraph"/>
        <w:numPr>
          <w:ilvl w:val="1"/>
          <w:numId w:val="4"/>
        </w:numPr>
        <w:tabs>
          <w:tab w:pos="1201" w:val="left" w:leader="none"/>
        </w:tabs>
        <w:spacing w:line="240" w:lineRule="auto" w:before="0" w:after="0"/>
        <w:ind w:left="1200" w:right="0" w:hanging="361"/>
        <w:jc w:val="left"/>
        <w:rPr>
          <w:sz w:val="22"/>
        </w:rPr>
      </w:pPr>
      <w:r>
        <w:rPr>
          <w:sz w:val="22"/>
        </w:rPr>
        <w:t>Describe your policy on providing on-site (or virtual) file</w:t>
      </w:r>
      <w:r>
        <w:rPr>
          <w:spacing w:val="-9"/>
          <w:sz w:val="22"/>
        </w:rPr>
        <w:t> </w:t>
      </w:r>
      <w:r>
        <w:rPr>
          <w:sz w:val="22"/>
        </w:rPr>
        <w:t>reviews.</w:t>
      </w:r>
    </w:p>
    <w:p>
      <w:pPr>
        <w:pStyle w:val="BodyText"/>
      </w:pPr>
    </w:p>
    <w:p>
      <w:pPr>
        <w:pStyle w:val="ListParagraph"/>
        <w:numPr>
          <w:ilvl w:val="1"/>
          <w:numId w:val="4"/>
        </w:numPr>
        <w:tabs>
          <w:tab w:pos="1201" w:val="left" w:leader="none"/>
        </w:tabs>
        <w:spacing w:line="240" w:lineRule="auto" w:before="0" w:after="0"/>
        <w:ind w:left="1200" w:right="0" w:hanging="361"/>
        <w:jc w:val="left"/>
        <w:rPr>
          <w:sz w:val="22"/>
        </w:rPr>
      </w:pPr>
      <w:r>
        <w:rPr>
          <w:sz w:val="22"/>
        </w:rPr>
        <w:t>Explain your efforts to identify and control</w:t>
      </w:r>
      <w:r>
        <w:rPr>
          <w:spacing w:val="-6"/>
          <w:sz w:val="22"/>
        </w:rPr>
        <w:t> </w:t>
      </w:r>
      <w:r>
        <w:rPr>
          <w:sz w:val="22"/>
        </w:rPr>
        <w:t>fraud.</w:t>
      </w:r>
    </w:p>
    <w:p>
      <w:pPr>
        <w:pStyle w:val="BodyText"/>
      </w:pPr>
    </w:p>
    <w:p>
      <w:pPr>
        <w:pStyle w:val="ListParagraph"/>
        <w:numPr>
          <w:ilvl w:val="1"/>
          <w:numId w:val="4"/>
        </w:numPr>
        <w:tabs>
          <w:tab w:pos="1201" w:val="left" w:leader="none"/>
        </w:tabs>
        <w:spacing w:line="240" w:lineRule="auto" w:before="1" w:after="0"/>
        <w:ind w:left="1200" w:right="0" w:hanging="361"/>
        <w:jc w:val="left"/>
        <w:rPr>
          <w:sz w:val="22"/>
        </w:rPr>
      </w:pPr>
      <w:r>
        <w:rPr>
          <w:sz w:val="22"/>
        </w:rPr>
        <w:t>Describe your experience with excess reporting and securing recoveries.</w:t>
      </w:r>
    </w:p>
    <w:p>
      <w:pPr>
        <w:pStyle w:val="BodyText"/>
      </w:pPr>
    </w:p>
    <w:p>
      <w:pPr>
        <w:pStyle w:val="ListParagraph"/>
        <w:numPr>
          <w:ilvl w:val="1"/>
          <w:numId w:val="4"/>
        </w:numPr>
        <w:tabs>
          <w:tab w:pos="1201" w:val="left" w:leader="none"/>
        </w:tabs>
        <w:spacing w:line="480" w:lineRule="auto" w:before="0" w:after="0"/>
        <w:ind w:left="1200" w:right="481" w:hanging="360"/>
        <w:jc w:val="left"/>
        <w:rPr>
          <w:sz w:val="22"/>
        </w:rPr>
      </w:pPr>
      <w:r>
        <w:rPr>
          <w:sz w:val="22"/>
        </w:rPr>
        <w:t>Explain your firm’s experience managing Medical Provider Networks and providing the required correspondence and</w:t>
      </w:r>
      <w:r>
        <w:rPr>
          <w:spacing w:val="-5"/>
          <w:sz w:val="22"/>
        </w:rPr>
        <w:t> </w:t>
      </w:r>
      <w:r>
        <w:rPr>
          <w:sz w:val="22"/>
        </w:rPr>
        <w:t>reporting.</w:t>
      </w:r>
    </w:p>
    <w:p>
      <w:pPr>
        <w:pStyle w:val="ListParagraph"/>
        <w:numPr>
          <w:ilvl w:val="1"/>
          <w:numId w:val="4"/>
        </w:numPr>
        <w:tabs>
          <w:tab w:pos="1201" w:val="left" w:leader="none"/>
        </w:tabs>
        <w:spacing w:line="480" w:lineRule="auto" w:before="0" w:after="0"/>
        <w:ind w:left="1200" w:right="489" w:hanging="360"/>
        <w:jc w:val="left"/>
        <w:rPr>
          <w:sz w:val="22"/>
        </w:rPr>
      </w:pPr>
      <w:r>
        <w:rPr>
          <w:sz w:val="22"/>
        </w:rPr>
        <w:t>Describe</w:t>
      </w:r>
      <w:r>
        <w:rPr>
          <w:spacing w:val="-6"/>
          <w:sz w:val="22"/>
        </w:rPr>
        <w:t> </w:t>
      </w:r>
      <w:r>
        <w:rPr>
          <w:sz w:val="22"/>
        </w:rPr>
        <w:t>your</w:t>
      </w:r>
      <w:r>
        <w:rPr>
          <w:spacing w:val="-5"/>
          <w:sz w:val="22"/>
        </w:rPr>
        <w:t> </w:t>
      </w:r>
      <w:r>
        <w:rPr>
          <w:sz w:val="22"/>
        </w:rPr>
        <w:t>medical</w:t>
      </w:r>
      <w:r>
        <w:rPr>
          <w:spacing w:val="-7"/>
          <w:sz w:val="22"/>
        </w:rPr>
        <w:t> </w:t>
      </w:r>
      <w:r>
        <w:rPr>
          <w:sz w:val="22"/>
        </w:rPr>
        <w:t>management</w:t>
      </w:r>
      <w:r>
        <w:rPr>
          <w:spacing w:val="-5"/>
          <w:sz w:val="22"/>
        </w:rPr>
        <w:t> </w:t>
      </w:r>
      <w:r>
        <w:rPr>
          <w:sz w:val="22"/>
        </w:rPr>
        <w:t>services,</w:t>
      </w:r>
      <w:r>
        <w:rPr>
          <w:spacing w:val="-6"/>
          <w:sz w:val="22"/>
        </w:rPr>
        <w:t> </w:t>
      </w:r>
      <w:r>
        <w:rPr>
          <w:sz w:val="22"/>
        </w:rPr>
        <w:t>to</w:t>
      </w:r>
      <w:r>
        <w:rPr>
          <w:spacing w:val="-5"/>
          <w:sz w:val="22"/>
        </w:rPr>
        <w:t> </w:t>
      </w:r>
      <w:r>
        <w:rPr>
          <w:sz w:val="22"/>
        </w:rPr>
        <w:t>include</w:t>
      </w:r>
      <w:r>
        <w:rPr>
          <w:spacing w:val="-6"/>
          <w:sz w:val="22"/>
        </w:rPr>
        <w:t> </w:t>
      </w:r>
      <w:r>
        <w:rPr>
          <w:sz w:val="22"/>
        </w:rPr>
        <w:t>medical</w:t>
      </w:r>
      <w:r>
        <w:rPr>
          <w:spacing w:val="-5"/>
          <w:sz w:val="22"/>
        </w:rPr>
        <w:t> </w:t>
      </w:r>
      <w:r>
        <w:rPr>
          <w:sz w:val="22"/>
        </w:rPr>
        <w:t>management,</w:t>
      </w:r>
      <w:r>
        <w:rPr>
          <w:spacing w:val="-3"/>
          <w:sz w:val="22"/>
        </w:rPr>
        <w:t> </w:t>
      </w:r>
      <w:r>
        <w:rPr>
          <w:sz w:val="22"/>
        </w:rPr>
        <w:t>utilization review, and bill review and pharmacy control</w:t>
      </w:r>
      <w:r>
        <w:rPr>
          <w:spacing w:val="-7"/>
          <w:sz w:val="22"/>
        </w:rPr>
        <w:t> </w:t>
      </w:r>
      <w:r>
        <w:rPr>
          <w:sz w:val="22"/>
        </w:rPr>
        <w:t>programs.</w:t>
      </w:r>
    </w:p>
    <w:p>
      <w:pPr>
        <w:pStyle w:val="ListParagraph"/>
        <w:numPr>
          <w:ilvl w:val="1"/>
          <w:numId w:val="4"/>
        </w:numPr>
        <w:tabs>
          <w:tab w:pos="1201" w:val="left" w:leader="none"/>
        </w:tabs>
        <w:spacing w:line="240" w:lineRule="auto" w:before="0" w:after="0"/>
        <w:ind w:left="1200" w:right="0" w:hanging="361"/>
        <w:jc w:val="left"/>
        <w:rPr>
          <w:sz w:val="22"/>
        </w:rPr>
      </w:pPr>
      <w:r>
        <w:rPr>
          <w:sz w:val="22"/>
        </w:rPr>
        <w:t>Describe on-line services your firm offers to locate providers or</w:t>
      </w:r>
      <w:r>
        <w:rPr>
          <w:spacing w:val="-14"/>
          <w:sz w:val="22"/>
        </w:rPr>
        <w:t> </w:t>
      </w:r>
      <w:r>
        <w:rPr>
          <w:sz w:val="22"/>
        </w:rPr>
        <w:t>pharmacies.</w:t>
      </w:r>
    </w:p>
    <w:p>
      <w:pPr>
        <w:pStyle w:val="BodyText"/>
      </w:pPr>
    </w:p>
    <w:p>
      <w:pPr>
        <w:pStyle w:val="ListParagraph"/>
        <w:numPr>
          <w:ilvl w:val="1"/>
          <w:numId w:val="4"/>
        </w:numPr>
        <w:tabs>
          <w:tab w:pos="1201" w:val="left" w:leader="none"/>
        </w:tabs>
        <w:spacing w:line="480" w:lineRule="auto" w:before="0" w:after="0"/>
        <w:ind w:left="1200" w:right="483" w:hanging="360"/>
        <w:jc w:val="left"/>
        <w:rPr>
          <w:sz w:val="22"/>
        </w:rPr>
      </w:pPr>
      <w:r>
        <w:rPr>
          <w:sz w:val="22"/>
        </w:rPr>
        <w:t>Describe how your firm ensures compliance with workers’ compensation statutes, rules and regulations promulgated by the Department of Industrial</w:t>
      </w:r>
      <w:r>
        <w:rPr>
          <w:spacing w:val="-5"/>
          <w:sz w:val="22"/>
        </w:rPr>
        <w:t> </w:t>
      </w:r>
      <w:r>
        <w:rPr>
          <w:sz w:val="22"/>
        </w:rPr>
        <w:t>Relations.</w:t>
      </w:r>
    </w:p>
    <w:p>
      <w:pPr>
        <w:pStyle w:val="ListParagraph"/>
        <w:numPr>
          <w:ilvl w:val="1"/>
          <w:numId w:val="4"/>
        </w:numPr>
        <w:tabs>
          <w:tab w:pos="1201" w:val="left" w:leader="none"/>
        </w:tabs>
        <w:spacing w:line="240" w:lineRule="auto" w:before="1" w:after="0"/>
        <w:ind w:left="1200" w:right="0" w:hanging="361"/>
        <w:jc w:val="left"/>
        <w:rPr>
          <w:sz w:val="22"/>
        </w:rPr>
      </w:pPr>
      <w:r>
        <w:rPr>
          <w:sz w:val="22"/>
        </w:rPr>
        <w:t>How do you assist clients with Cal/OSHA 300 log reporting?</w:t>
      </w:r>
    </w:p>
    <w:p>
      <w:pPr>
        <w:pStyle w:val="BodyText"/>
        <w:spacing w:before="9"/>
        <w:rPr>
          <w:sz w:val="21"/>
        </w:rPr>
      </w:pPr>
    </w:p>
    <w:p>
      <w:pPr>
        <w:pStyle w:val="ListParagraph"/>
        <w:numPr>
          <w:ilvl w:val="1"/>
          <w:numId w:val="4"/>
        </w:numPr>
        <w:tabs>
          <w:tab w:pos="1201" w:val="left" w:leader="none"/>
        </w:tabs>
        <w:spacing w:line="240" w:lineRule="auto" w:before="0" w:after="0"/>
        <w:ind w:left="1200" w:right="0" w:hanging="361"/>
        <w:jc w:val="left"/>
        <w:rPr>
          <w:sz w:val="22"/>
        </w:rPr>
      </w:pPr>
      <w:r>
        <w:rPr>
          <w:sz w:val="22"/>
        </w:rPr>
        <w:t>Describe</w:t>
      </w:r>
      <w:r>
        <w:rPr>
          <w:spacing w:val="-3"/>
          <w:sz w:val="22"/>
        </w:rPr>
        <w:t> </w:t>
      </w:r>
      <w:r>
        <w:rPr>
          <w:sz w:val="22"/>
        </w:rPr>
        <w:t>how</w:t>
      </w:r>
      <w:r>
        <w:rPr>
          <w:spacing w:val="-6"/>
          <w:sz w:val="22"/>
        </w:rPr>
        <w:t> </w:t>
      </w:r>
      <w:r>
        <w:rPr>
          <w:sz w:val="22"/>
        </w:rPr>
        <w:t>your</w:t>
      </w:r>
      <w:r>
        <w:rPr>
          <w:spacing w:val="-4"/>
          <w:sz w:val="22"/>
        </w:rPr>
        <w:t> </w:t>
      </w:r>
      <w:r>
        <w:rPr>
          <w:sz w:val="22"/>
        </w:rPr>
        <w:t>firm</w:t>
      </w:r>
      <w:r>
        <w:rPr>
          <w:spacing w:val="-3"/>
          <w:sz w:val="22"/>
        </w:rPr>
        <w:t> </w:t>
      </w:r>
      <w:r>
        <w:rPr>
          <w:sz w:val="22"/>
        </w:rPr>
        <w:t>assists</w:t>
      </w:r>
      <w:r>
        <w:rPr>
          <w:spacing w:val="-3"/>
          <w:sz w:val="22"/>
        </w:rPr>
        <w:t> </w:t>
      </w:r>
      <w:r>
        <w:rPr>
          <w:sz w:val="22"/>
        </w:rPr>
        <w:t>in</w:t>
      </w:r>
      <w:r>
        <w:rPr>
          <w:spacing w:val="-4"/>
          <w:sz w:val="22"/>
        </w:rPr>
        <w:t> </w:t>
      </w:r>
      <w:r>
        <w:rPr>
          <w:sz w:val="22"/>
        </w:rPr>
        <w:t>the</w:t>
      </w:r>
      <w:r>
        <w:rPr>
          <w:spacing w:val="-7"/>
          <w:sz w:val="22"/>
        </w:rPr>
        <w:t> </w:t>
      </w:r>
      <w:r>
        <w:rPr>
          <w:sz w:val="22"/>
        </w:rPr>
        <w:t>completion</w:t>
      </w:r>
      <w:r>
        <w:rPr>
          <w:spacing w:val="-4"/>
          <w:sz w:val="22"/>
        </w:rPr>
        <w:t> </w:t>
      </w:r>
      <w:r>
        <w:rPr>
          <w:sz w:val="22"/>
        </w:rPr>
        <w:t>of</w:t>
      </w:r>
      <w:r>
        <w:rPr>
          <w:spacing w:val="-5"/>
          <w:sz w:val="22"/>
        </w:rPr>
        <w:t> </w:t>
      </w:r>
      <w:r>
        <w:rPr>
          <w:sz w:val="22"/>
        </w:rPr>
        <w:t>the</w:t>
      </w:r>
      <w:r>
        <w:rPr>
          <w:spacing w:val="-3"/>
          <w:sz w:val="22"/>
        </w:rPr>
        <w:t> </w:t>
      </w:r>
      <w:r>
        <w:rPr>
          <w:sz w:val="22"/>
        </w:rPr>
        <w:t>State</w:t>
      </w:r>
      <w:r>
        <w:rPr>
          <w:spacing w:val="-1"/>
          <w:sz w:val="22"/>
        </w:rPr>
        <w:t> </w:t>
      </w:r>
      <w:r>
        <w:rPr>
          <w:sz w:val="22"/>
        </w:rPr>
        <w:t>Self-Insured</w:t>
      </w:r>
      <w:r>
        <w:rPr>
          <w:spacing w:val="-4"/>
          <w:sz w:val="22"/>
        </w:rPr>
        <w:t> </w:t>
      </w:r>
      <w:r>
        <w:rPr>
          <w:sz w:val="22"/>
        </w:rPr>
        <w:t>Annual</w:t>
      </w:r>
      <w:r>
        <w:rPr>
          <w:spacing w:val="-3"/>
          <w:sz w:val="22"/>
        </w:rPr>
        <w:t> </w:t>
      </w:r>
      <w:r>
        <w:rPr>
          <w:sz w:val="22"/>
        </w:rPr>
        <w:t>Report.</w:t>
      </w:r>
    </w:p>
    <w:p>
      <w:pPr>
        <w:pStyle w:val="BodyText"/>
        <w:spacing w:before="1"/>
      </w:pPr>
    </w:p>
    <w:p>
      <w:pPr>
        <w:pStyle w:val="ListParagraph"/>
        <w:numPr>
          <w:ilvl w:val="1"/>
          <w:numId w:val="4"/>
        </w:numPr>
        <w:tabs>
          <w:tab w:pos="1201" w:val="left" w:leader="none"/>
        </w:tabs>
        <w:spacing w:line="480" w:lineRule="auto" w:before="0" w:after="0"/>
        <w:ind w:left="1200" w:right="482" w:hanging="360"/>
        <w:jc w:val="left"/>
        <w:rPr>
          <w:sz w:val="22"/>
        </w:rPr>
      </w:pPr>
      <w:r>
        <w:rPr>
          <w:sz w:val="22"/>
        </w:rPr>
        <w:t>Describe your Electronic Data Interchange (EDI) compliance capabilities for First and Subsequent Reports of Injury.</w:t>
      </w:r>
    </w:p>
    <w:p>
      <w:pPr>
        <w:pStyle w:val="ListParagraph"/>
        <w:numPr>
          <w:ilvl w:val="1"/>
          <w:numId w:val="4"/>
        </w:numPr>
        <w:tabs>
          <w:tab w:pos="1201" w:val="left" w:leader="none"/>
        </w:tabs>
        <w:spacing w:line="240" w:lineRule="auto" w:before="1" w:after="0"/>
        <w:ind w:left="1200" w:right="0" w:hanging="361"/>
        <w:jc w:val="left"/>
        <w:rPr>
          <w:sz w:val="22"/>
        </w:rPr>
      </w:pPr>
      <w:r>
        <w:rPr>
          <w:sz w:val="22"/>
        </w:rPr>
        <w:t>Describe your firm’s process for meeting the CMS MMSEA reporting</w:t>
      </w:r>
      <w:r>
        <w:rPr>
          <w:spacing w:val="9"/>
          <w:sz w:val="22"/>
        </w:rPr>
        <w:t> </w:t>
      </w:r>
      <w:r>
        <w:rPr>
          <w:sz w:val="22"/>
        </w:rPr>
        <w:t>requirements.</w:t>
      </w:r>
    </w:p>
    <w:p>
      <w:pPr>
        <w:pStyle w:val="BodyText"/>
      </w:pPr>
    </w:p>
    <w:p>
      <w:pPr>
        <w:pStyle w:val="BodyText"/>
        <w:ind w:left="1200"/>
      </w:pPr>
      <w:r>
        <w:rPr/>
        <w:t>Indicate your experience and capability to act as the Reporting Agent for the City.</w:t>
      </w:r>
    </w:p>
    <w:p>
      <w:pPr>
        <w:pStyle w:val="BodyText"/>
        <w:spacing w:before="9"/>
        <w:rPr>
          <w:sz w:val="21"/>
        </w:rPr>
      </w:pPr>
    </w:p>
    <w:p>
      <w:pPr>
        <w:pStyle w:val="ListParagraph"/>
        <w:numPr>
          <w:ilvl w:val="1"/>
          <w:numId w:val="4"/>
        </w:numPr>
        <w:tabs>
          <w:tab w:pos="1201" w:val="left" w:leader="none"/>
        </w:tabs>
        <w:spacing w:line="480" w:lineRule="auto" w:before="1" w:after="0"/>
        <w:ind w:left="1200" w:right="481" w:hanging="360"/>
        <w:jc w:val="left"/>
        <w:rPr>
          <w:sz w:val="22"/>
        </w:rPr>
      </w:pPr>
      <w:r>
        <w:rPr>
          <w:sz w:val="22"/>
        </w:rPr>
        <w:t>Provide a list of clients for which similar types of claims-related services are currently provided. Please include the name, title, and phone number of three (3) people, in</w:t>
      </w:r>
      <w:r>
        <w:rPr>
          <w:spacing w:val="24"/>
          <w:sz w:val="22"/>
        </w:rPr>
        <w:t> </w:t>
      </w:r>
      <w:r>
        <w:rPr>
          <w:sz w:val="22"/>
        </w:rPr>
        <w:t>three</w:t>
      </w:r>
    </w:p>
    <w:p>
      <w:pPr>
        <w:pStyle w:val="BodyText"/>
        <w:spacing w:line="480" w:lineRule="auto" w:before="1"/>
        <w:ind w:left="1200" w:right="480"/>
      </w:pPr>
      <w:r>
        <w:rPr/>
        <w:t>(3) different entities (preferably municipalities), whom the City of Escondido can contact to discuss the proposer’s performance.</w:t>
      </w:r>
    </w:p>
    <w:p>
      <w:pPr>
        <w:spacing w:after="0" w:line="480" w:lineRule="auto"/>
        <w:sectPr>
          <w:pgSz w:w="12240" w:h="15840"/>
          <w:pgMar w:header="0" w:footer="1168" w:top="740" w:bottom="1440" w:left="960" w:right="960"/>
        </w:sectPr>
      </w:pPr>
    </w:p>
    <w:p>
      <w:pPr>
        <w:pStyle w:val="Heading1"/>
        <w:rPr>
          <w:u w:val="none"/>
        </w:rPr>
      </w:pPr>
      <w:r>
        <w:rPr/>
        <w:pict>
          <v:group style="position:absolute;margin-left:26.160002pt;margin-top:26.160002pt;width:561.85pt;height:741.85pt;mso-position-horizontal-relative:page;mso-position-vertical-relative:page;z-index:-253963264" coordorigin="523,523" coordsize="11237,14837">
            <v:line style="position:absolute" from="523,545" to="11674,545" stroked="true" strokeweight="2.159998pt" strokecolor="#000000">
              <v:stroke dashstyle="solid"/>
            </v:line>
            <v:rect style="position:absolute;left:11673;top:523;width:44;height:44" filled="true" fillcolor="#000000" stroked="false">
              <v:fill type="solid"/>
            </v:rect>
            <v:line style="position:absolute" from="545,566" to="545,15317" stroked="true" strokeweight="2.159998pt" strokecolor="#000000">
              <v:stroke dashstyle="solid"/>
            </v:line>
            <v:line style="position:absolute" from="11717,566" to="11717,15274" stroked="true" strokeweight="4.320008pt" strokecolor="#000000">
              <v:stroke dashstyle="solid"/>
            </v:line>
            <v:line style="position:absolute" from="566,15317" to="11674,15317" stroked="true" strokeweight="4.320008pt" strokecolor="#000000">
              <v:stroke dashstyle="solid"/>
            </v:line>
            <v:shape style="position:absolute;left:11673;top:15273;width:87;height:87" coordorigin="11674,15274" coordsize="87,87" path="m11760,15274l11717,15274,11674,15274,11674,15317,11674,15360,11717,15360,11760,15360,11760,15317,11760,15274e" filled="true" fillcolor="#000000" stroked="false">
              <v:path arrowok="t"/>
              <v:fill type="solid"/>
            </v:shape>
            <w10:wrap type="none"/>
          </v:group>
        </w:pict>
      </w:r>
      <w:r>
        <w:rPr>
          <w:spacing w:val="-203"/>
          <w:u w:val="thick"/>
        </w:rPr>
        <w:t>A</w:t>
      </w:r>
      <w:r>
        <w:rPr>
          <w:spacing w:val="123"/>
          <w:u w:val="none"/>
        </w:rPr>
        <w:t> </w:t>
      </w:r>
      <w:r>
        <w:rPr>
          <w:u w:val="thick"/>
        </w:rPr>
        <w:t>ttachment “B”</w:t>
      </w:r>
    </w:p>
    <w:p>
      <w:pPr>
        <w:pStyle w:val="Heading2"/>
      </w:pPr>
      <w:r>
        <w:rPr/>
        <w:t>COST</w:t>
      </w:r>
      <w:r>
        <w:rPr>
          <w:spacing w:val="-6"/>
        </w:rPr>
        <w:t> </w:t>
      </w:r>
      <w:r>
        <w:rPr/>
        <w:t>PROPOSAL</w:t>
      </w:r>
    </w:p>
    <w:p>
      <w:pPr>
        <w:pStyle w:val="BodyText"/>
        <w:spacing w:before="10"/>
        <w:rPr>
          <w:b/>
          <w:sz w:val="21"/>
        </w:rPr>
      </w:pPr>
    </w:p>
    <w:p>
      <w:pPr>
        <w:pStyle w:val="BodyText"/>
        <w:ind w:left="480" w:right="481"/>
        <w:jc w:val="both"/>
      </w:pPr>
      <w:r>
        <w:rPr/>
        <w:t>Provide a complete detailed cost proposal to include the initial year of the contract as well as the optional years 4 additional years (see examples of cost proposal below). The proposal should also</w:t>
      </w:r>
      <w:r>
        <w:rPr>
          <w:spacing w:val="-6"/>
        </w:rPr>
        <w:t> </w:t>
      </w:r>
      <w:r>
        <w:rPr/>
        <w:t>include</w:t>
      </w:r>
      <w:r>
        <w:rPr>
          <w:spacing w:val="-8"/>
        </w:rPr>
        <w:t> </w:t>
      </w:r>
      <w:r>
        <w:rPr/>
        <w:t>the</w:t>
      </w:r>
      <w:r>
        <w:rPr>
          <w:spacing w:val="-10"/>
        </w:rPr>
        <w:t> </w:t>
      </w:r>
      <w:r>
        <w:rPr/>
        <w:t>fee,</w:t>
      </w:r>
      <w:r>
        <w:rPr>
          <w:spacing w:val="-5"/>
        </w:rPr>
        <w:t> </w:t>
      </w:r>
      <w:r>
        <w:rPr/>
        <w:t>if</w:t>
      </w:r>
      <w:r>
        <w:rPr>
          <w:spacing w:val="-6"/>
        </w:rPr>
        <w:t> </w:t>
      </w:r>
      <w:r>
        <w:rPr/>
        <w:t>any,</w:t>
      </w:r>
      <w:r>
        <w:rPr>
          <w:spacing w:val="-4"/>
        </w:rPr>
        <w:t> </w:t>
      </w:r>
      <w:r>
        <w:rPr/>
        <w:t>associated</w:t>
      </w:r>
      <w:r>
        <w:rPr>
          <w:spacing w:val="-7"/>
        </w:rPr>
        <w:t> </w:t>
      </w:r>
      <w:r>
        <w:rPr/>
        <w:t>with</w:t>
      </w:r>
      <w:r>
        <w:rPr>
          <w:spacing w:val="-9"/>
        </w:rPr>
        <w:t> </w:t>
      </w:r>
      <w:r>
        <w:rPr/>
        <w:t>the</w:t>
      </w:r>
      <w:r>
        <w:rPr>
          <w:spacing w:val="-8"/>
        </w:rPr>
        <w:t> </w:t>
      </w:r>
      <w:r>
        <w:rPr/>
        <w:t>mandatory</w:t>
      </w:r>
      <w:r>
        <w:rPr>
          <w:spacing w:val="-10"/>
        </w:rPr>
        <w:t> </w:t>
      </w:r>
      <w:r>
        <w:rPr/>
        <w:t>reporting</w:t>
      </w:r>
      <w:r>
        <w:rPr>
          <w:spacing w:val="-10"/>
        </w:rPr>
        <w:t> </w:t>
      </w:r>
      <w:r>
        <w:rPr/>
        <w:t>to</w:t>
      </w:r>
      <w:r>
        <w:rPr>
          <w:spacing w:val="-9"/>
        </w:rPr>
        <w:t> </w:t>
      </w:r>
      <w:r>
        <w:rPr/>
        <w:t>CMS</w:t>
      </w:r>
      <w:r>
        <w:rPr>
          <w:spacing w:val="-9"/>
        </w:rPr>
        <w:t> </w:t>
      </w:r>
      <w:r>
        <w:rPr/>
        <w:t>for</w:t>
      </w:r>
      <w:r>
        <w:rPr>
          <w:spacing w:val="-5"/>
        </w:rPr>
        <w:t> </w:t>
      </w:r>
      <w:r>
        <w:rPr/>
        <w:t>initial</w:t>
      </w:r>
      <w:r>
        <w:rPr>
          <w:spacing w:val="-9"/>
        </w:rPr>
        <w:t> </w:t>
      </w:r>
      <w:r>
        <w:rPr/>
        <w:t>queries</w:t>
      </w:r>
      <w:r>
        <w:rPr>
          <w:spacing w:val="-8"/>
        </w:rPr>
        <w:t> </w:t>
      </w:r>
      <w:r>
        <w:rPr/>
        <w:t>and all subsequent reporting. If you are unable to act as the Reporting Agent, please indicate in your proposal. Cost proposal shall identify any other expenses which would not be covered through this</w:t>
      </w:r>
      <w:r>
        <w:rPr>
          <w:spacing w:val="-17"/>
        </w:rPr>
        <w:t> </w:t>
      </w:r>
      <w:r>
        <w:rPr/>
        <w:t>fee</w:t>
      </w:r>
      <w:r>
        <w:rPr>
          <w:spacing w:val="-15"/>
        </w:rPr>
        <w:t> </w:t>
      </w:r>
      <w:r>
        <w:rPr/>
        <w:t>schedule</w:t>
      </w:r>
      <w:r>
        <w:rPr>
          <w:spacing w:val="-14"/>
        </w:rPr>
        <w:t> </w:t>
      </w:r>
      <w:r>
        <w:rPr/>
        <w:t>but</w:t>
      </w:r>
      <w:r>
        <w:rPr>
          <w:spacing w:val="-16"/>
        </w:rPr>
        <w:t> </w:t>
      </w:r>
      <w:r>
        <w:rPr/>
        <w:t>will</w:t>
      </w:r>
      <w:r>
        <w:rPr>
          <w:spacing w:val="-14"/>
        </w:rPr>
        <w:t> </w:t>
      </w:r>
      <w:r>
        <w:rPr/>
        <w:t>be</w:t>
      </w:r>
      <w:r>
        <w:rPr>
          <w:spacing w:val="-14"/>
        </w:rPr>
        <w:t> </w:t>
      </w:r>
      <w:r>
        <w:rPr/>
        <w:t>required</w:t>
      </w:r>
      <w:r>
        <w:rPr>
          <w:spacing w:val="-18"/>
        </w:rPr>
        <w:t> </w:t>
      </w:r>
      <w:r>
        <w:rPr/>
        <w:t>in</w:t>
      </w:r>
      <w:r>
        <w:rPr>
          <w:spacing w:val="-15"/>
        </w:rPr>
        <w:t> </w:t>
      </w:r>
      <w:r>
        <w:rPr/>
        <w:t>order</w:t>
      </w:r>
      <w:r>
        <w:rPr>
          <w:spacing w:val="29"/>
        </w:rPr>
        <w:t> </w:t>
      </w:r>
      <w:r>
        <w:rPr/>
        <w:t>for</w:t>
      </w:r>
      <w:r>
        <w:rPr>
          <w:spacing w:val="-19"/>
        </w:rPr>
        <w:t> </w:t>
      </w:r>
      <w:r>
        <w:rPr/>
        <w:t>the</w:t>
      </w:r>
      <w:r>
        <w:rPr>
          <w:spacing w:val="-16"/>
        </w:rPr>
        <w:t> </w:t>
      </w:r>
      <w:r>
        <w:rPr/>
        <w:t>TPA</w:t>
      </w:r>
      <w:r>
        <w:rPr>
          <w:spacing w:val="-19"/>
        </w:rPr>
        <w:t> </w:t>
      </w:r>
      <w:r>
        <w:rPr/>
        <w:t>to</w:t>
      </w:r>
      <w:r>
        <w:rPr>
          <w:spacing w:val="-15"/>
        </w:rPr>
        <w:t> </w:t>
      </w:r>
      <w:r>
        <w:rPr/>
        <w:t>properly</w:t>
      </w:r>
      <w:r>
        <w:rPr>
          <w:spacing w:val="-19"/>
        </w:rPr>
        <w:t> </w:t>
      </w:r>
      <w:r>
        <w:rPr/>
        <w:t>administer</w:t>
      </w:r>
      <w:r>
        <w:rPr>
          <w:spacing w:val="-16"/>
        </w:rPr>
        <w:t> </w:t>
      </w:r>
      <w:r>
        <w:rPr/>
        <w:t>the</w:t>
      </w:r>
      <w:r>
        <w:rPr>
          <w:spacing w:val="-18"/>
        </w:rPr>
        <w:t> </w:t>
      </w:r>
      <w:r>
        <w:rPr/>
        <w:t>City’s</w:t>
      </w:r>
      <w:r>
        <w:rPr>
          <w:spacing w:val="-16"/>
        </w:rPr>
        <w:t> </w:t>
      </w:r>
      <w:r>
        <w:rPr/>
        <w:t>workers’ compensation</w:t>
      </w:r>
      <w:r>
        <w:rPr>
          <w:spacing w:val="-12"/>
        </w:rPr>
        <w:t> </w:t>
      </w:r>
      <w:r>
        <w:rPr/>
        <w:t>program</w:t>
      </w:r>
      <w:r>
        <w:rPr>
          <w:spacing w:val="-12"/>
        </w:rPr>
        <w:t> </w:t>
      </w:r>
      <w:r>
        <w:rPr/>
        <w:t>and</w:t>
      </w:r>
      <w:r>
        <w:rPr>
          <w:spacing w:val="-12"/>
        </w:rPr>
        <w:t> </w:t>
      </w:r>
      <w:r>
        <w:rPr/>
        <w:t>bill</w:t>
      </w:r>
      <w:r>
        <w:rPr>
          <w:spacing w:val="-14"/>
        </w:rPr>
        <w:t> </w:t>
      </w:r>
      <w:r>
        <w:rPr/>
        <w:t>review.</w:t>
      </w:r>
      <w:r>
        <w:rPr>
          <w:spacing w:val="-7"/>
        </w:rPr>
        <w:t> </w:t>
      </w:r>
      <w:r>
        <w:rPr/>
        <w:t>Multi-year</w:t>
      </w:r>
      <w:r>
        <w:rPr>
          <w:spacing w:val="-10"/>
        </w:rPr>
        <w:t> </w:t>
      </w:r>
      <w:r>
        <w:rPr/>
        <w:t>contracts,</w:t>
      </w:r>
      <w:r>
        <w:rPr>
          <w:spacing w:val="-12"/>
        </w:rPr>
        <w:t> </w:t>
      </w:r>
      <w:r>
        <w:rPr/>
        <w:t>which</w:t>
      </w:r>
      <w:r>
        <w:rPr>
          <w:spacing w:val="-12"/>
        </w:rPr>
        <w:t> </w:t>
      </w:r>
      <w:r>
        <w:rPr/>
        <w:t>offer</w:t>
      </w:r>
      <w:r>
        <w:rPr>
          <w:spacing w:val="-10"/>
        </w:rPr>
        <w:t> </w:t>
      </w:r>
      <w:r>
        <w:rPr/>
        <w:t>alternatives</w:t>
      </w:r>
      <w:r>
        <w:rPr>
          <w:spacing w:val="-12"/>
        </w:rPr>
        <w:t> </w:t>
      </w:r>
      <w:r>
        <w:rPr/>
        <w:t>with</w:t>
      </w:r>
      <w:r>
        <w:rPr>
          <w:spacing w:val="-12"/>
        </w:rPr>
        <w:t> </w:t>
      </w:r>
      <w:r>
        <w:rPr/>
        <w:t>fixed</w:t>
      </w:r>
      <w:r>
        <w:rPr>
          <w:spacing w:val="-12"/>
        </w:rPr>
        <w:t> </w:t>
      </w:r>
      <w:r>
        <w:rPr/>
        <w:t>fee schedules, will also be entertained. If multi-year contracts are submitted please include two (2), three (3), four (4) and five (5) year</w:t>
      </w:r>
      <w:r>
        <w:rPr>
          <w:spacing w:val="-5"/>
        </w:rPr>
        <w:t> </w:t>
      </w:r>
      <w:r>
        <w:rPr/>
        <w:t>proposals.</w:t>
      </w:r>
    </w:p>
    <w:p>
      <w:pPr>
        <w:pStyle w:val="BodyText"/>
      </w:pPr>
    </w:p>
    <w:p>
      <w:pPr>
        <w:pStyle w:val="BodyText"/>
        <w:ind w:left="480"/>
        <w:jc w:val="both"/>
      </w:pPr>
      <w:r>
        <w:rPr/>
        <w:t>Certification of Cost Proposal</w:t>
      </w:r>
    </w:p>
    <w:p>
      <w:pPr>
        <w:pStyle w:val="BodyText"/>
        <w:spacing w:before="1"/>
        <w:ind w:left="480" w:right="647"/>
        <w:jc w:val="both"/>
      </w:pPr>
      <w:r>
        <w:rPr/>
        <w:t>By submitting a cost proposal the TPA is certifying that the fee schedule submitted is</w:t>
      </w:r>
      <w:r>
        <w:rPr>
          <w:spacing w:val="-30"/>
        </w:rPr>
        <w:t> </w:t>
      </w:r>
      <w:r>
        <w:rPr/>
        <w:t>accurate, detailed, complete, and inclusive of all cost required in order for the TPA to properly</w:t>
      </w:r>
      <w:r>
        <w:rPr>
          <w:spacing w:val="-28"/>
        </w:rPr>
        <w:t> </w:t>
      </w:r>
      <w:r>
        <w:rPr/>
        <w:t>administer the City’s workers’ compensation program and bill review</w:t>
      </w:r>
      <w:r>
        <w:rPr>
          <w:spacing w:val="-5"/>
        </w:rPr>
        <w:t> </w:t>
      </w:r>
      <w:r>
        <w:rPr/>
        <w:t>meet.</w:t>
      </w:r>
    </w:p>
    <w:p>
      <w:pPr>
        <w:pStyle w:val="BodyText"/>
        <w:rPr>
          <w:sz w:val="24"/>
        </w:rPr>
      </w:pPr>
    </w:p>
    <w:p>
      <w:pPr>
        <w:pStyle w:val="BodyText"/>
        <w:rPr>
          <w:sz w:val="20"/>
        </w:rPr>
      </w:pPr>
    </w:p>
    <w:p>
      <w:pPr>
        <w:pStyle w:val="Heading4"/>
        <w:numPr>
          <w:ilvl w:val="0"/>
          <w:numId w:val="5"/>
        </w:numPr>
        <w:tabs>
          <w:tab w:pos="841" w:val="left" w:leader="none"/>
        </w:tabs>
        <w:spacing w:line="240" w:lineRule="auto" w:before="0" w:after="0"/>
        <w:ind w:left="840" w:right="0" w:hanging="361"/>
        <w:jc w:val="left"/>
      </w:pPr>
      <w:r>
        <w:rPr/>
        <w:t>TPA Cost</w:t>
      </w:r>
      <w:r>
        <w:rPr>
          <w:spacing w:val="-5"/>
        </w:rPr>
        <w:t> </w:t>
      </w:r>
      <w:r>
        <w:rPr/>
        <w:t>Proposal</w:t>
      </w:r>
    </w:p>
    <w:p>
      <w:pPr>
        <w:pStyle w:val="BodyText"/>
        <w:spacing w:before="10"/>
        <w:rPr>
          <w:b/>
          <w:sz w:val="21"/>
        </w:rPr>
      </w:pPr>
    </w:p>
    <w:p>
      <w:pPr>
        <w:pStyle w:val="BodyText"/>
        <w:ind w:left="480" w:right="480"/>
      </w:pPr>
      <w:r>
        <w:rPr/>
        <w:t>The City will assume (unless otherwise stated by the TPA) your proposal will include the following TPA services at no additional charge to the City:</w:t>
      </w:r>
    </w:p>
    <w:p>
      <w:pPr>
        <w:pStyle w:val="BodyText"/>
        <w:spacing w:before="1"/>
      </w:pPr>
    </w:p>
    <w:p>
      <w:pPr>
        <w:pStyle w:val="ListParagraph"/>
        <w:numPr>
          <w:ilvl w:val="1"/>
          <w:numId w:val="5"/>
        </w:numPr>
        <w:tabs>
          <w:tab w:pos="1740" w:val="left" w:leader="none"/>
          <w:tab w:pos="1741" w:val="left" w:leader="none"/>
        </w:tabs>
        <w:spacing w:line="269" w:lineRule="exact" w:before="0" w:after="0"/>
        <w:ind w:left="1740" w:right="0" w:hanging="361"/>
        <w:jc w:val="left"/>
        <w:rPr>
          <w:sz w:val="22"/>
        </w:rPr>
      </w:pPr>
      <w:r>
        <w:rPr>
          <w:sz w:val="22"/>
        </w:rPr>
        <w:t>Assumption of “tail claims” from existing</w:t>
      </w:r>
      <w:r>
        <w:rPr>
          <w:spacing w:val="-1"/>
          <w:sz w:val="22"/>
        </w:rPr>
        <w:t> </w:t>
      </w:r>
      <w:r>
        <w:rPr>
          <w:sz w:val="22"/>
        </w:rPr>
        <w:t>administrator</w:t>
      </w:r>
    </w:p>
    <w:p>
      <w:pPr>
        <w:pStyle w:val="ListParagraph"/>
        <w:numPr>
          <w:ilvl w:val="1"/>
          <w:numId w:val="5"/>
        </w:numPr>
        <w:tabs>
          <w:tab w:pos="1740" w:val="left" w:leader="none"/>
          <w:tab w:pos="1741" w:val="left" w:leader="none"/>
        </w:tabs>
        <w:spacing w:line="268" w:lineRule="exact" w:before="0" w:after="0"/>
        <w:ind w:left="1740" w:right="0" w:hanging="361"/>
        <w:jc w:val="left"/>
        <w:rPr>
          <w:sz w:val="22"/>
        </w:rPr>
      </w:pPr>
      <w:r>
        <w:rPr>
          <w:sz w:val="22"/>
        </w:rPr>
        <w:t>All newly reported indemnity, medical only and first aid</w:t>
      </w:r>
      <w:r>
        <w:rPr>
          <w:spacing w:val="-9"/>
          <w:sz w:val="22"/>
        </w:rPr>
        <w:t> </w:t>
      </w:r>
      <w:r>
        <w:rPr>
          <w:sz w:val="22"/>
        </w:rPr>
        <w:t>claims</w:t>
      </w:r>
    </w:p>
    <w:p>
      <w:pPr>
        <w:pStyle w:val="ListParagraph"/>
        <w:numPr>
          <w:ilvl w:val="1"/>
          <w:numId w:val="5"/>
        </w:numPr>
        <w:tabs>
          <w:tab w:pos="1740" w:val="left" w:leader="none"/>
          <w:tab w:pos="1741" w:val="left" w:leader="none"/>
        </w:tabs>
        <w:spacing w:line="268" w:lineRule="exact" w:before="0" w:after="0"/>
        <w:ind w:left="1740" w:right="0" w:hanging="361"/>
        <w:jc w:val="left"/>
        <w:rPr>
          <w:sz w:val="22"/>
        </w:rPr>
      </w:pPr>
      <w:r>
        <w:rPr>
          <w:sz w:val="22"/>
        </w:rPr>
        <w:t>User license fee for City employees for computer information</w:t>
      </w:r>
      <w:r>
        <w:rPr>
          <w:spacing w:val="-14"/>
          <w:sz w:val="22"/>
        </w:rPr>
        <w:t> </w:t>
      </w:r>
      <w:r>
        <w:rPr>
          <w:sz w:val="22"/>
        </w:rPr>
        <w:t>system</w:t>
      </w:r>
    </w:p>
    <w:p>
      <w:pPr>
        <w:pStyle w:val="ListParagraph"/>
        <w:numPr>
          <w:ilvl w:val="1"/>
          <w:numId w:val="5"/>
        </w:numPr>
        <w:tabs>
          <w:tab w:pos="1740" w:val="left" w:leader="none"/>
          <w:tab w:pos="1741" w:val="left" w:leader="none"/>
        </w:tabs>
        <w:spacing w:line="269" w:lineRule="exact" w:before="0" w:after="0"/>
        <w:ind w:left="1740" w:right="0" w:hanging="361"/>
        <w:jc w:val="left"/>
        <w:rPr>
          <w:sz w:val="22"/>
        </w:rPr>
      </w:pPr>
      <w:r>
        <w:rPr>
          <w:sz w:val="22"/>
        </w:rPr>
        <w:t>Data conversion fees at</w:t>
      </w:r>
      <w:r>
        <w:rPr>
          <w:spacing w:val="-5"/>
          <w:sz w:val="22"/>
        </w:rPr>
        <w:t> </w:t>
      </w:r>
      <w:r>
        <w:rPr>
          <w:sz w:val="22"/>
        </w:rPr>
        <w:t>transition</w:t>
      </w:r>
    </w:p>
    <w:p>
      <w:pPr>
        <w:pStyle w:val="ListParagraph"/>
        <w:numPr>
          <w:ilvl w:val="1"/>
          <w:numId w:val="5"/>
        </w:numPr>
        <w:tabs>
          <w:tab w:pos="1740" w:val="left" w:leader="none"/>
          <w:tab w:pos="1741" w:val="left" w:leader="none"/>
        </w:tabs>
        <w:spacing w:line="268" w:lineRule="exact" w:before="0" w:after="0"/>
        <w:ind w:left="1740" w:right="0" w:hanging="361"/>
        <w:jc w:val="left"/>
        <w:rPr>
          <w:sz w:val="22"/>
        </w:rPr>
      </w:pPr>
      <w:r>
        <w:rPr>
          <w:sz w:val="22"/>
        </w:rPr>
        <w:t>Standard monthly CMIS reports and fees (to be agreed</w:t>
      </w:r>
      <w:r>
        <w:rPr>
          <w:spacing w:val="-11"/>
          <w:sz w:val="22"/>
        </w:rPr>
        <w:t> </w:t>
      </w:r>
      <w:r>
        <w:rPr>
          <w:sz w:val="22"/>
        </w:rPr>
        <w:t>upon)</w:t>
      </w:r>
    </w:p>
    <w:p>
      <w:pPr>
        <w:pStyle w:val="ListParagraph"/>
        <w:numPr>
          <w:ilvl w:val="1"/>
          <w:numId w:val="5"/>
        </w:numPr>
        <w:tabs>
          <w:tab w:pos="1740" w:val="left" w:leader="none"/>
          <w:tab w:pos="1741" w:val="left" w:leader="none"/>
        </w:tabs>
        <w:spacing w:line="268" w:lineRule="exact" w:before="0" w:after="0"/>
        <w:ind w:left="1740" w:right="0" w:hanging="361"/>
        <w:jc w:val="left"/>
        <w:rPr>
          <w:sz w:val="22"/>
        </w:rPr>
      </w:pPr>
      <w:r>
        <w:rPr>
          <w:sz w:val="22"/>
        </w:rPr>
        <w:t>Medical Provider Network management</w:t>
      </w:r>
      <w:r>
        <w:rPr>
          <w:spacing w:val="1"/>
          <w:sz w:val="22"/>
        </w:rPr>
        <w:t> </w:t>
      </w:r>
      <w:r>
        <w:rPr>
          <w:sz w:val="22"/>
        </w:rPr>
        <w:t>services</w:t>
      </w:r>
    </w:p>
    <w:p>
      <w:pPr>
        <w:pStyle w:val="ListParagraph"/>
        <w:numPr>
          <w:ilvl w:val="1"/>
          <w:numId w:val="5"/>
        </w:numPr>
        <w:tabs>
          <w:tab w:pos="1740" w:val="left" w:leader="none"/>
          <w:tab w:pos="1741" w:val="left" w:leader="none"/>
        </w:tabs>
        <w:spacing w:line="268" w:lineRule="exact" w:before="0" w:after="0"/>
        <w:ind w:left="1740" w:right="0" w:hanging="361"/>
        <w:jc w:val="left"/>
        <w:rPr>
          <w:sz w:val="22"/>
        </w:rPr>
      </w:pPr>
      <w:r>
        <w:rPr>
          <w:sz w:val="22"/>
        </w:rPr>
        <w:t>File reviews (frequency to be agreed</w:t>
      </w:r>
      <w:r>
        <w:rPr>
          <w:spacing w:val="1"/>
          <w:sz w:val="22"/>
        </w:rPr>
        <w:t> </w:t>
      </w:r>
      <w:r>
        <w:rPr>
          <w:sz w:val="22"/>
        </w:rPr>
        <w:t>upon)</w:t>
      </w:r>
    </w:p>
    <w:p>
      <w:pPr>
        <w:pStyle w:val="ListParagraph"/>
        <w:numPr>
          <w:ilvl w:val="1"/>
          <w:numId w:val="5"/>
        </w:numPr>
        <w:tabs>
          <w:tab w:pos="1740" w:val="left" w:leader="none"/>
          <w:tab w:pos="1741" w:val="left" w:leader="none"/>
        </w:tabs>
        <w:spacing w:line="268" w:lineRule="exact" w:before="0" w:after="0"/>
        <w:ind w:left="1740" w:right="0" w:hanging="361"/>
        <w:jc w:val="left"/>
        <w:rPr>
          <w:sz w:val="22"/>
        </w:rPr>
      </w:pPr>
      <w:r>
        <w:rPr>
          <w:sz w:val="22"/>
        </w:rPr>
        <w:t>SIP annual</w:t>
      </w:r>
      <w:r>
        <w:rPr>
          <w:spacing w:val="-1"/>
          <w:sz w:val="22"/>
        </w:rPr>
        <w:t> </w:t>
      </w:r>
      <w:r>
        <w:rPr>
          <w:sz w:val="22"/>
        </w:rPr>
        <w:t>report</w:t>
      </w:r>
    </w:p>
    <w:p>
      <w:pPr>
        <w:pStyle w:val="ListParagraph"/>
        <w:numPr>
          <w:ilvl w:val="1"/>
          <w:numId w:val="5"/>
        </w:numPr>
        <w:tabs>
          <w:tab w:pos="1740" w:val="left" w:leader="none"/>
          <w:tab w:pos="1741" w:val="left" w:leader="none"/>
        </w:tabs>
        <w:spacing w:line="268" w:lineRule="exact" w:before="0" w:after="0"/>
        <w:ind w:left="1740" w:right="0" w:hanging="361"/>
        <w:jc w:val="left"/>
        <w:rPr>
          <w:sz w:val="22"/>
        </w:rPr>
      </w:pPr>
      <w:r>
        <w:rPr>
          <w:sz w:val="22"/>
        </w:rPr>
        <w:t>1099’s</w:t>
      </w:r>
    </w:p>
    <w:p>
      <w:pPr>
        <w:pStyle w:val="ListParagraph"/>
        <w:numPr>
          <w:ilvl w:val="1"/>
          <w:numId w:val="5"/>
        </w:numPr>
        <w:tabs>
          <w:tab w:pos="1740" w:val="left" w:leader="none"/>
          <w:tab w:pos="1741" w:val="left" w:leader="none"/>
        </w:tabs>
        <w:spacing w:line="268" w:lineRule="exact" w:before="0" w:after="0"/>
        <w:ind w:left="1740" w:right="0" w:hanging="361"/>
        <w:jc w:val="left"/>
        <w:rPr>
          <w:sz w:val="22"/>
        </w:rPr>
      </w:pPr>
      <w:r>
        <w:rPr>
          <w:sz w:val="22"/>
        </w:rPr>
        <w:t>Development of special account instructions and procedures</w:t>
      </w:r>
    </w:p>
    <w:p>
      <w:pPr>
        <w:pStyle w:val="ListParagraph"/>
        <w:numPr>
          <w:ilvl w:val="1"/>
          <w:numId w:val="5"/>
        </w:numPr>
        <w:tabs>
          <w:tab w:pos="1740" w:val="left" w:leader="none"/>
          <w:tab w:pos="1741" w:val="left" w:leader="none"/>
        </w:tabs>
        <w:spacing w:line="269" w:lineRule="exact" w:before="0" w:after="0"/>
        <w:ind w:left="1740" w:right="0" w:hanging="361"/>
        <w:jc w:val="left"/>
        <w:rPr>
          <w:sz w:val="22"/>
        </w:rPr>
      </w:pPr>
      <w:r>
        <w:rPr>
          <w:sz w:val="22"/>
        </w:rPr>
        <w:t>DWC-1 forms, posters and</w:t>
      </w:r>
      <w:r>
        <w:rPr>
          <w:spacing w:val="-4"/>
          <w:sz w:val="22"/>
        </w:rPr>
        <w:t> </w:t>
      </w:r>
      <w:r>
        <w:rPr>
          <w:sz w:val="22"/>
        </w:rPr>
        <w:t>pamphlets</w:t>
      </w:r>
    </w:p>
    <w:p>
      <w:pPr>
        <w:pStyle w:val="ListParagraph"/>
        <w:numPr>
          <w:ilvl w:val="1"/>
          <w:numId w:val="5"/>
        </w:numPr>
        <w:tabs>
          <w:tab w:pos="1740" w:val="left" w:leader="none"/>
          <w:tab w:pos="1741" w:val="left" w:leader="none"/>
        </w:tabs>
        <w:spacing w:line="268" w:lineRule="exact" w:before="0" w:after="0"/>
        <w:ind w:left="1740" w:right="0" w:hanging="361"/>
        <w:jc w:val="left"/>
        <w:rPr>
          <w:sz w:val="22"/>
        </w:rPr>
      </w:pPr>
      <w:r>
        <w:rPr>
          <w:sz w:val="22"/>
        </w:rPr>
        <w:t>Index</w:t>
      </w:r>
      <w:r>
        <w:rPr>
          <w:spacing w:val="-1"/>
          <w:sz w:val="22"/>
        </w:rPr>
        <w:t> </w:t>
      </w:r>
      <w:r>
        <w:rPr>
          <w:sz w:val="22"/>
        </w:rPr>
        <w:t>checking</w:t>
      </w:r>
    </w:p>
    <w:p>
      <w:pPr>
        <w:pStyle w:val="ListParagraph"/>
        <w:numPr>
          <w:ilvl w:val="1"/>
          <w:numId w:val="5"/>
        </w:numPr>
        <w:tabs>
          <w:tab w:pos="1740" w:val="left" w:leader="none"/>
          <w:tab w:pos="1741" w:val="left" w:leader="none"/>
        </w:tabs>
        <w:spacing w:line="268" w:lineRule="exact" w:before="0" w:after="0"/>
        <w:ind w:left="1740" w:right="0" w:hanging="361"/>
        <w:jc w:val="left"/>
        <w:rPr>
          <w:sz w:val="22"/>
        </w:rPr>
      </w:pPr>
      <w:r>
        <w:rPr>
          <w:sz w:val="22"/>
        </w:rPr>
        <w:t>Customization of</w:t>
      </w:r>
      <w:r>
        <w:rPr>
          <w:spacing w:val="2"/>
          <w:sz w:val="22"/>
        </w:rPr>
        <w:t> </w:t>
      </w:r>
      <w:r>
        <w:rPr>
          <w:sz w:val="22"/>
        </w:rPr>
        <w:t>reports</w:t>
      </w:r>
    </w:p>
    <w:p>
      <w:pPr>
        <w:pStyle w:val="ListParagraph"/>
        <w:numPr>
          <w:ilvl w:val="1"/>
          <w:numId w:val="5"/>
        </w:numPr>
        <w:tabs>
          <w:tab w:pos="1740" w:val="left" w:leader="none"/>
          <w:tab w:pos="1741" w:val="left" w:leader="none"/>
        </w:tabs>
        <w:spacing w:line="268" w:lineRule="exact" w:before="0" w:after="0"/>
        <w:ind w:left="1740" w:right="0" w:hanging="361"/>
        <w:jc w:val="left"/>
        <w:rPr>
          <w:sz w:val="22"/>
        </w:rPr>
      </w:pPr>
      <w:r>
        <w:rPr>
          <w:sz w:val="22"/>
        </w:rPr>
        <w:t>Attendance at hearings (City approval to</w:t>
      </w:r>
      <w:r>
        <w:rPr>
          <w:spacing w:val="-1"/>
          <w:sz w:val="22"/>
        </w:rPr>
        <w:t> </w:t>
      </w:r>
      <w:r>
        <w:rPr>
          <w:sz w:val="22"/>
        </w:rPr>
        <w:t>attend)</w:t>
      </w:r>
    </w:p>
    <w:p>
      <w:pPr>
        <w:pStyle w:val="ListParagraph"/>
        <w:numPr>
          <w:ilvl w:val="1"/>
          <w:numId w:val="5"/>
        </w:numPr>
        <w:tabs>
          <w:tab w:pos="1740" w:val="left" w:leader="none"/>
          <w:tab w:pos="1741" w:val="left" w:leader="none"/>
        </w:tabs>
        <w:spacing w:line="268" w:lineRule="exact" w:before="0" w:after="0"/>
        <w:ind w:left="1740" w:right="0" w:hanging="361"/>
        <w:jc w:val="left"/>
        <w:rPr>
          <w:sz w:val="22"/>
        </w:rPr>
      </w:pPr>
      <w:r>
        <w:rPr>
          <w:sz w:val="22"/>
        </w:rPr>
        <w:t>Storage of claims – up to 5 years as required by Labor</w:t>
      </w:r>
      <w:r>
        <w:rPr>
          <w:spacing w:val="-7"/>
          <w:sz w:val="22"/>
        </w:rPr>
        <w:t> </w:t>
      </w:r>
      <w:r>
        <w:rPr>
          <w:sz w:val="22"/>
        </w:rPr>
        <w:t>Code</w:t>
      </w:r>
    </w:p>
    <w:p>
      <w:pPr>
        <w:pStyle w:val="ListParagraph"/>
        <w:numPr>
          <w:ilvl w:val="1"/>
          <w:numId w:val="5"/>
        </w:numPr>
        <w:tabs>
          <w:tab w:pos="1740" w:val="left" w:leader="none"/>
          <w:tab w:pos="1741" w:val="left" w:leader="none"/>
        </w:tabs>
        <w:spacing w:line="269" w:lineRule="exact" w:before="0" w:after="0"/>
        <w:ind w:left="1740" w:right="0" w:hanging="361"/>
        <w:jc w:val="left"/>
        <w:rPr>
          <w:sz w:val="22"/>
        </w:rPr>
      </w:pPr>
      <w:r>
        <w:rPr>
          <w:sz w:val="22"/>
        </w:rPr>
        <w:t>Check</w:t>
      </w:r>
      <w:r>
        <w:rPr>
          <w:spacing w:val="-1"/>
          <w:sz w:val="22"/>
        </w:rPr>
        <w:t> </w:t>
      </w:r>
      <w:r>
        <w:rPr>
          <w:sz w:val="22"/>
        </w:rPr>
        <w:t>printing</w:t>
      </w:r>
    </w:p>
    <w:p>
      <w:pPr>
        <w:pStyle w:val="ListParagraph"/>
        <w:numPr>
          <w:ilvl w:val="1"/>
          <w:numId w:val="5"/>
        </w:numPr>
        <w:tabs>
          <w:tab w:pos="1740" w:val="left" w:leader="none"/>
          <w:tab w:pos="1741" w:val="left" w:leader="none"/>
        </w:tabs>
        <w:spacing w:line="268" w:lineRule="exact" w:before="0" w:after="0"/>
        <w:ind w:left="1740" w:right="0" w:hanging="361"/>
        <w:jc w:val="left"/>
        <w:rPr>
          <w:sz w:val="22"/>
        </w:rPr>
      </w:pPr>
      <w:r>
        <w:rPr>
          <w:sz w:val="22"/>
        </w:rPr>
        <w:t>Banking</w:t>
      </w:r>
      <w:r>
        <w:rPr>
          <w:spacing w:val="-1"/>
          <w:sz w:val="22"/>
        </w:rPr>
        <w:t> </w:t>
      </w:r>
      <w:r>
        <w:rPr>
          <w:sz w:val="22"/>
        </w:rPr>
        <w:t>fees</w:t>
      </w:r>
    </w:p>
    <w:p>
      <w:pPr>
        <w:pStyle w:val="ListParagraph"/>
        <w:numPr>
          <w:ilvl w:val="1"/>
          <w:numId w:val="5"/>
        </w:numPr>
        <w:tabs>
          <w:tab w:pos="1740" w:val="left" w:leader="none"/>
          <w:tab w:pos="1741" w:val="left" w:leader="none"/>
        </w:tabs>
        <w:spacing w:line="268" w:lineRule="exact" w:before="0" w:after="0"/>
        <w:ind w:left="1740" w:right="0" w:hanging="361"/>
        <w:jc w:val="left"/>
        <w:rPr>
          <w:sz w:val="22"/>
        </w:rPr>
      </w:pPr>
      <w:r>
        <w:rPr>
          <w:sz w:val="22"/>
        </w:rPr>
        <w:t>Utilization review “stat” approvals</w:t>
      </w:r>
    </w:p>
    <w:p>
      <w:pPr>
        <w:pStyle w:val="ListParagraph"/>
        <w:numPr>
          <w:ilvl w:val="1"/>
          <w:numId w:val="5"/>
        </w:numPr>
        <w:tabs>
          <w:tab w:pos="1740" w:val="left" w:leader="none"/>
          <w:tab w:pos="1741" w:val="left" w:leader="none"/>
        </w:tabs>
        <w:spacing w:line="268" w:lineRule="exact" w:before="0" w:after="0"/>
        <w:ind w:left="1740" w:right="0" w:hanging="361"/>
        <w:jc w:val="left"/>
        <w:rPr>
          <w:sz w:val="22"/>
        </w:rPr>
      </w:pPr>
      <w:r>
        <w:rPr>
          <w:sz w:val="22"/>
        </w:rPr>
        <w:t>Electronic filing</w:t>
      </w:r>
      <w:r>
        <w:rPr>
          <w:spacing w:val="-3"/>
          <w:sz w:val="22"/>
        </w:rPr>
        <w:t> </w:t>
      </w:r>
      <w:r>
        <w:rPr>
          <w:sz w:val="22"/>
        </w:rPr>
        <w:t>fees</w:t>
      </w:r>
    </w:p>
    <w:p>
      <w:pPr>
        <w:pStyle w:val="ListParagraph"/>
        <w:numPr>
          <w:ilvl w:val="1"/>
          <w:numId w:val="5"/>
        </w:numPr>
        <w:tabs>
          <w:tab w:pos="1740" w:val="left" w:leader="none"/>
          <w:tab w:pos="1741" w:val="left" w:leader="none"/>
        </w:tabs>
        <w:spacing w:line="268" w:lineRule="exact" w:before="0" w:after="0"/>
        <w:ind w:left="1740" w:right="0" w:hanging="361"/>
        <w:jc w:val="left"/>
        <w:rPr>
          <w:sz w:val="22"/>
        </w:rPr>
      </w:pPr>
      <w:r>
        <w:rPr>
          <w:sz w:val="22"/>
        </w:rPr>
        <w:t>Correspondence</w:t>
      </w:r>
      <w:r>
        <w:rPr>
          <w:spacing w:val="-4"/>
          <w:sz w:val="22"/>
        </w:rPr>
        <w:t> </w:t>
      </w:r>
      <w:r>
        <w:rPr>
          <w:sz w:val="22"/>
        </w:rPr>
        <w:t>fees</w:t>
      </w:r>
    </w:p>
    <w:p>
      <w:pPr>
        <w:spacing w:after="0" w:line="268" w:lineRule="exact"/>
        <w:jc w:val="left"/>
        <w:rPr>
          <w:sz w:val="22"/>
        </w:rPr>
        <w:sectPr>
          <w:pgSz w:w="12240" w:h="15840"/>
          <w:pgMar w:header="0" w:footer="1168" w:top="740" w:bottom="1440" w:left="960" w:right="960"/>
        </w:sectPr>
      </w:pPr>
    </w:p>
    <w:tbl>
      <w:tblPr>
        <w:tblW w:w="0" w:type="auto"/>
        <w:jc w:val="left"/>
        <w:tblInd w:w="5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970"/>
        <w:gridCol w:w="781"/>
        <w:gridCol w:w="850"/>
        <w:gridCol w:w="849"/>
        <w:gridCol w:w="833"/>
        <w:gridCol w:w="882"/>
        <w:gridCol w:w="1081"/>
      </w:tblGrid>
      <w:tr>
        <w:trPr>
          <w:trHeight w:val="255" w:hRule="atLeast"/>
        </w:trPr>
        <w:tc>
          <w:tcPr>
            <w:tcW w:w="9246" w:type="dxa"/>
            <w:gridSpan w:val="7"/>
            <w:tcBorders>
              <w:bottom w:val="single" w:sz="18" w:space="0" w:color="000000"/>
              <w:right w:val="single" w:sz="18" w:space="0" w:color="000000"/>
            </w:tcBorders>
          </w:tcPr>
          <w:p>
            <w:pPr>
              <w:pStyle w:val="TableParagraph"/>
              <w:spacing w:line="213" w:lineRule="exact" w:before="22"/>
              <w:ind w:left="3269" w:right="3227"/>
              <w:jc w:val="center"/>
              <w:rPr>
                <w:rFonts w:ascii="Calibri"/>
                <w:b/>
                <w:sz w:val="20"/>
              </w:rPr>
            </w:pPr>
            <w:r>
              <w:rPr>
                <w:rFonts w:ascii="Calibri"/>
                <w:b/>
                <w:sz w:val="20"/>
              </w:rPr>
              <w:t>Summary of TPA Fees (Example)</w:t>
            </w:r>
          </w:p>
        </w:tc>
      </w:tr>
      <w:tr>
        <w:trPr>
          <w:trHeight w:val="736" w:hRule="atLeast"/>
        </w:trPr>
        <w:tc>
          <w:tcPr>
            <w:tcW w:w="3970" w:type="dxa"/>
            <w:tcBorders>
              <w:top w:val="single" w:sz="18" w:space="0" w:color="000000"/>
              <w:bottom w:val="single" w:sz="18" w:space="0" w:color="000000"/>
              <w:right w:val="single" w:sz="18" w:space="0" w:color="000000"/>
            </w:tcBorders>
          </w:tcPr>
          <w:p>
            <w:pPr>
              <w:pStyle w:val="TableParagraph"/>
              <w:rPr>
                <w:sz w:val="20"/>
              </w:rPr>
            </w:pPr>
          </w:p>
          <w:p>
            <w:pPr>
              <w:pStyle w:val="TableParagraph"/>
              <w:spacing w:before="7"/>
              <w:rPr>
                <w:sz w:val="23"/>
              </w:rPr>
            </w:pPr>
          </w:p>
          <w:p>
            <w:pPr>
              <w:pStyle w:val="TableParagraph"/>
              <w:spacing w:line="214" w:lineRule="exact" w:before="1"/>
              <w:ind w:left="1597" w:right="1555"/>
              <w:jc w:val="center"/>
              <w:rPr>
                <w:rFonts w:ascii="Calibri"/>
                <w:b/>
                <w:sz w:val="20"/>
              </w:rPr>
            </w:pPr>
            <w:r>
              <w:rPr>
                <w:rFonts w:ascii="Calibri"/>
                <w:b/>
                <w:sz w:val="20"/>
              </w:rPr>
              <w:t>TPA Fees</w:t>
            </w:r>
          </w:p>
        </w:tc>
        <w:tc>
          <w:tcPr>
            <w:tcW w:w="4195" w:type="dxa"/>
            <w:gridSpan w:val="5"/>
            <w:tcBorders>
              <w:top w:val="single" w:sz="18" w:space="0" w:color="000000"/>
              <w:left w:val="single" w:sz="18" w:space="0" w:color="000000"/>
              <w:bottom w:val="single" w:sz="18" w:space="0" w:color="000000"/>
              <w:right w:val="single" w:sz="18" w:space="0" w:color="000000"/>
            </w:tcBorders>
          </w:tcPr>
          <w:p>
            <w:pPr>
              <w:pStyle w:val="TableParagraph"/>
              <w:rPr>
                <w:sz w:val="20"/>
              </w:rPr>
            </w:pPr>
          </w:p>
          <w:p>
            <w:pPr>
              <w:pStyle w:val="TableParagraph"/>
              <w:spacing w:before="7"/>
              <w:rPr>
                <w:sz w:val="23"/>
              </w:rPr>
            </w:pPr>
          </w:p>
          <w:p>
            <w:pPr>
              <w:pStyle w:val="TableParagraph"/>
              <w:spacing w:line="214" w:lineRule="exact" w:before="1"/>
              <w:ind w:left="1785" w:right="1763"/>
              <w:jc w:val="center"/>
              <w:rPr>
                <w:rFonts w:ascii="Calibri"/>
                <w:b/>
                <w:sz w:val="20"/>
              </w:rPr>
            </w:pPr>
            <w:r>
              <w:rPr>
                <w:rFonts w:ascii="Calibri"/>
                <w:b/>
                <w:sz w:val="20"/>
              </w:rPr>
              <w:t>Pricing</w:t>
            </w:r>
          </w:p>
        </w:tc>
        <w:tc>
          <w:tcPr>
            <w:tcW w:w="1081" w:type="dxa"/>
            <w:vMerge w:val="restart"/>
            <w:tcBorders>
              <w:top w:val="single" w:sz="18" w:space="0" w:color="000000"/>
              <w:left w:val="single" w:sz="18" w:space="0" w:color="000000"/>
              <w:bottom w:val="single" w:sz="18" w:space="0" w:color="000000"/>
              <w:right w:val="single" w:sz="18" w:space="0" w:color="000000"/>
            </w:tcBorders>
          </w:tcPr>
          <w:p>
            <w:pPr>
              <w:pStyle w:val="TableParagraph"/>
              <w:spacing w:line="206" w:lineRule="exact"/>
              <w:ind w:left="214"/>
              <w:rPr>
                <w:rFonts w:ascii="Calibri"/>
                <w:b/>
                <w:sz w:val="20"/>
              </w:rPr>
            </w:pPr>
            <w:r>
              <w:rPr>
                <w:rFonts w:ascii="Calibri"/>
                <w:b/>
                <w:spacing w:val="2"/>
                <w:sz w:val="20"/>
              </w:rPr>
              <w:t>Services</w:t>
            </w:r>
          </w:p>
          <w:p>
            <w:pPr>
              <w:pStyle w:val="TableParagraph"/>
              <w:spacing w:line="280" w:lineRule="atLeast" w:before="1"/>
              <w:ind w:left="180" w:right="151"/>
              <w:jc w:val="both"/>
              <w:rPr>
                <w:rFonts w:ascii="Calibri"/>
                <w:b/>
                <w:sz w:val="20"/>
              </w:rPr>
            </w:pPr>
            <w:r>
              <w:rPr>
                <w:rFonts w:ascii="Calibri"/>
                <w:b/>
                <w:spacing w:val="2"/>
                <w:w w:val="95"/>
                <w:sz w:val="20"/>
              </w:rPr>
              <w:t>Included </w:t>
            </w:r>
            <w:r>
              <w:rPr>
                <w:rFonts w:ascii="Calibri"/>
                <w:b/>
                <w:w w:val="95"/>
                <w:sz w:val="20"/>
              </w:rPr>
              <w:t>Total</w:t>
            </w:r>
            <w:r>
              <w:rPr>
                <w:rFonts w:ascii="Calibri"/>
                <w:b/>
                <w:spacing w:val="-22"/>
                <w:w w:val="95"/>
                <w:sz w:val="20"/>
              </w:rPr>
              <w:t> </w:t>
            </w:r>
            <w:r>
              <w:rPr>
                <w:rFonts w:ascii="Calibri"/>
                <w:b/>
                <w:spacing w:val="3"/>
                <w:w w:val="95"/>
                <w:sz w:val="20"/>
              </w:rPr>
              <w:t>Per </w:t>
            </w:r>
            <w:r>
              <w:rPr>
                <w:rFonts w:ascii="Calibri"/>
                <w:b/>
                <w:w w:val="95"/>
                <w:sz w:val="20"/>
              </w:rPr>
              <w:t>Year</w:t>
            </w:r>
            <w:r>
              <w:rPr>
                <w:rFonts w:ascii="Calibri"/>
                <w:b/>
                <w:spacing w:val="-20"/>
                <w:w w:val="95"/>
                <w:sz w:val="20"/>
              </w:rPr>
              <w:t> </w:t>
            </w:r>
            <w:r>
              <w:rPr>
                <w:rFonts w:ascii="Calibri"/>
                <w:b/>
                <w:w w:val="95"/>
                <w:sz w:val="20"/>
              </w:rPr>
              <w:t>Y/N</w:t>
            </w:r>
          </w:p>
        </w:tc>
      </w:tr>
      <w:tr>
        <w:trPr>
          <w:trHeight w:val="252" w:hRule="atLeast"/>
        </w:trPr>
        <w:tc>
          <w:tcPr>
            <w:tcW w:w="3970" w:type="dxa"/>
            <w:tcBorders>
              <w:top w:val="single" w:sz="18" w:space="0" w:color="000000"/>
              <w:bottom w:val="single" w:sz="18" w:space="0" w:color="000000"/>
              <w:right w:val="single" w:sz="18" w:space="0" w:color="000000"/>
            </w:tcBorders>
          </w:tcPr>
          <w:p>
            <w:pPr>
              <w:pStyle w:val="TableParagraph"/>
              <w:rPr>
                <w:rFonts w:ascii="Times New Roman"/>
                <w:sz w:val="18"/>
              </w:rPr>
            </w:pPr>
          </w:p>
        </w:tc>
        <w:tc>
          <w:tcPr>
            <w:tcW w:w="781" w:type="dxa"/>
            <w:tcBorders>
              <w:top w:val="single" w:sz="18" w:space="0" w:color="000000"/>
              <w:left w:val="single" w:sz="18" w:space="0" w:color="000000"/>
              <w:bottom w:val="single" w:sz="18" w:space="0" w:color="000000"/>
              <w:right w:val="single" w:sz="18" w:space="0" w:color="000000"/>
            </w:tcBorders>
          </w:tcPr>
          <w:p>
            <w:pPr>
              <w:pStyle w:val="TableParagraph"/>
              <w:spacing w:line="214" w:lineRule="exact" w:before="18"/>
              <w:ind w:left="132"/>
              <w:rPr>
                <w:rFonts w:ascii="Calibri"/>
                <w:b/>
                <w:sz w:val="20"/>
              </w:rPr>
            </w:pPr>
            <w:r>
              <w:rPr>
                <w:rFonts w:ascii="Calibri"/>
                <w:b/>
                <w:sz w:val="20"/>
              </w:rPr>
              <w:t>Year 1</w:t>
            </w:r>
          </w:p>
        </w:tc>
        <w:tc>
          <w:tcPr>
            <w:tcW w:w="850" w:type="dxa"/>
            <w:tcBorders>
              <w:top w:val="single" w:sz="18" w:space="0" w:color="000000"/>
              <w:left w:val="single" w:sz="18" w:space="0" w:color="000000"/>
              <w:bottom w:val="single" w:sz="18" w:space="0" w:color="000000"/>
              <w:right w:val="single" w:sz="18" w:space="0" w:color="000000"/>
            </w:tcBorders>
          </w:tcPr>
          <w:p>
            <w:pPr>
              <w:pStyle w:val="TableParagraph"/>
              <w:spacing w:line="214" w:lineRule="exact" w:before="18"/>
              <w:ind w:left="167"/>
              <w:rPr>
                <w:rFonts w:ascii="Calibri"/>
                <w:b/>
                <w:sz w:val="20"/>
              </w:rPr>
            </w:pPr>
            <w:r>
              <w:rPr>
                <w:rFonts w:ascii="Calibri"/>
                <w:b/>
                <w:sz w:val="20"/>
              </w:rPr>
              <w:t>Year 2</w:t>
            </w:r>
          </w:p>
        </w:tc>
        <w:tc>
          <w:tcPr>
            <w:tcW w:w="849" w:type="dxa"/>
            <w:tcBorders>
              <w:top w:val="single" w:sz="18" w:space="0" w:color="000000"/>
              <w:left w:val="single" w:sz="18" w:space="0" w:color="000000"/>
              <w:bottom w:val="single" w:sz="18" w:space="0" w:color="000000"/>
              <w:right w:val="single" w:sz="18" w:space="0" w:color="000000"/>
            </w:tcBorders>
          </w:tcPr>
          <w:p>
            <w:pPr>
              <w:pStyle w:val="TableParagraph"/>
              <w:spacing w:line="214" w:lineRule="exact" w:before="18"/>
              <w:ind w:left="164"/>
              <w:rPr>
                <w:rFonts w:ascii="Calibri"/>
                <w:b/>
                <w:sz w:val="20"/>
              </w:rPr>
            </w:pPr>
            <w:r>
              <w:rPr>
                <w:rFonts w:ascii="Calibri"/>
                <w:b/>
                <w:sz w:val="20"/>
              </w:rPr>
              <w:t>Year 3</w:t>
            </w:r>
          </w:p>
        </w:tc>
        <w:tc>
          <w:tcPr>
            <w:tcW w:w="833" w:type="dxa"/>
            <w:tcBorders>
              <w:top w:val="single" w:sz="18" w:space="0" w:color="000000"/>
              <w:left w:val="single" w:sz="18" w:space="0" w:color="000000"/>
              <w:bottom w:val="single" w:sz="18" w:space="0" w:color="000000"/>
              <w:right w:val="single" w:sz="18" w:space="0" w:color="000000"/>
            </w:tcBorders>
          </w:tcPr>
          <w:p>
            <w:pPr>
              <w:pStyle w:val="TableParagraph"/>
              <w:spacing w:line="214" w:lineRule="exact" w:before="18"/>
              <w:ind w:left="165"/>
              <w:rPr>
                <w:rFonts w:ascii="Calibri"/>
                <w:b/>
                <w:sz w:val="20"/>
              </w:rPr>
            </w:pPr>
            <w:r>
              <w:rPr>
                <w:rFonts w:ascii="Calibri"/>
                <w:b/>
                <w:sz w:val="20"/>
              </w:rPr>
              <w:t>Year 4</w:t>
            </w:r>
          </w:p>
        </w:tc>
        <w:tc>
          <w:tcPr>
            <w:tcW w:w="882" w:type="dxa"/>
            <w:tcBorders>
              <w:top w:val="single" w:sz="18" w:space="0" w:color="000000"/>
              <w:left w:val="single" w:sz="18" w:space="0" w:color="000000"/>
              <w:bottom w:val="single" w:sz="18" w:space="0" w:color="000000"/>
              <w:right w:val="single" w:sz="18" w:space="0" w:color="000000"/>
            </w:tcBorders>
          </w:tcPr>
          <w:p>
            <w:pPr>
              <w:pStyle w:val="TableParagraph"/>
              <w:spacing w:line="214" w:lineRule="exact" w:before="18"/>
              <w:ind w:left="179"/>
              <w:rPr>
                <w:rFonts w:ascii="Calibri"/>
                <w:b/>
                <w:sz w:val="20"/>
              </w:rPr>
            </w:pPr>
            <w:r>
              <w:rPr>
                <w:rFonts w:ascii="Calibri"/>
                <w:b/>
                <w:sz w:val="20"/>
              </w:rPr>
              <w:t>Year 5</w:t>
            </w:r>
          </w:p>
        </w:tc>
        <w:tc>
          <w:tcPr>
            <w:tcW w:w="1081" w:type="dxa"/>
            <w:vMerge/>
            <w:tcBorders>
              <w:top w:val="nil"/>
              <w:left w:val="single" w:sz="18" w:space="0" w:color="000000"/>
              <w:bottom w:val="single" w:sz="18" w:space="0" w:color="000000"/>
              <w:right w:val="single" w:sz="18" w:space="0" w:color="000000"/>
            </w:tcBorders>
          </w:tcPr>
          <w:p>
            <w:pPr>
              <w:rPr>
                <w:sz w:val="2"/>
                <w:szCs w:val="2"/>
              </w:rPr>
            </w:pPr>
          </w:p>
        </w:tc>
      </w:tr>
      <w:tr>
        <w:trPr>
          <w:trHeight w:val="127" w:hRule="atLeast"/>
        </w:trPr>
        <w:tc>
          <w:tcPr>
            <w:tcW w:w="3970" w:type="dxa"/>
            <w:tcBorders>
              <w:top w:val="single" w:sz="18" w:space="0" w:color="000000"/>
              <w:left w:val="single" w:sz="12" w:space="0" w:color="D4D4D4"/>
              <w:bottom w:val="single" w:sz="18" w:space="0" w:color="000000"/>
              <w:right w:val="single" w:sz="12" w:space="0" w:color="D4D4D4"/>
            </w:tcBorders>
          </w:tcPr>
          <w:p>
            <w:pPr>
              <w:pStyle w:val="TableParagraph"/>
              <w:rPr>
                <w:rFonts w:ascii="Times New Roman"/>
                <w:sz w:val="6"/>
              </w:rPr>
            </w:pPr>
          </w:p>
        </w:tc>
        <w:tc>
          <w:tcPr>
            <w:tcW w:w="781" w:type="dxa"/>
            <w:tcBorders>
              <w:top w:val="single" w:sz="18" w:space="0" w:color="000000"/>
              <w:left w:val="single" w:sz="12" w:space="0" w:color="D4D4D4"/>
              <w:bottom w:val="single" w:sz="18" w:space="0" w:color="000000"/>
              <w:right w:val="single" w:sz="12" w:space="0" w:color="D4D4D4"/>
            </w:tcBorders>
          </w:tcPr>
          <w:p>
            <w:pPr>
              <w:pStyle w:val="TableParagraph"/>
              <w:rPr>
                <w:rFonts w:ascii="Times New Roman"/>
                <w:sz w:val="6"/>
              </w:rPr>
            </w:pPr>
          </w:p>
        </w:tc>
        <w:tc>
          <w:tcPr>
            <w:tcW w:w="850" w:type="dxa"/>
            <w:tcBorders>
              <w:top w:val="single" w:sz="18" w:space="0" w:color="000000"/>
              <w:left w:val="single" w:sz="12" w:space="0" w:color="D4D4D4"/>
              <w:bottom w:val="single" w:sz="18" w:space="0" w:color="000000"/>
              <w:right w:val="single" w:sz="12" w:space="0" w:color="D4D4D4"/>
            </w:tcBorders>
          </w:tcPr>
          <w:p>
            <w:pPr>
              <w:pStyle w:val="TableParagraph"/>
              <w:rPr>
                <w:rFonts w:ascii="Times New Roman"/>
                <w:sz w:val="6"/>
              </w:rPr>
            </w:pPr>
          </w:p>
        </w:tc>
        <w:tc>
          <w:tcPr>
            <w:tcW w:w="849" w:type="dxa"/>
            <w:tcBorders>
              <w:top w:val="single" w:sz="18" w:space="0" w:color="000000"/>
              <w:left w:val="single" w:sz="12" w:space="0" w:color="D4D4D4"/>
              <w:bottom w:val="single" w:sz="18" w:space="0" w:color="000000"/>
              <w:right w:val="single" w:sz="12" w:space="0" w:color="D4D4D4"/>
            </w:tcBorders>
          </w:tcPr>
          <w:p>
            <w:pPr>
              <w:pStyle w:val="TableParagraph"/>
              <w:rPr>
                <w:rFonts w:ascii="Times New Roman"/>
                <w:sz w:val="6"/>
              </w:rPr>
            </w:pPr>
          </w:p>
        </w:tc>
        <w:tc>
          <w:tcPr>
            <w:tcW w:w="833" w:type="dxa"/>
            <w:tcBorders>
              <w:top w:val="single" w:sz="18" w:space="0" w:color="000000"/>
              <w:left w:val="single" w:sz="12" w:space="0" w:color="D4D4D4"/>
              <w:bottom w:val="single" w:sz="18" w:space="0" w:color="000000"/>
              <w:right w:val="single" w:sz="12" w:space="0" w:color="D4D4D4"/>
            </w:tcBorders>
          </w:tcPr>
          <w:p>
            <w:pPr>
              <w:pStyle w:val="TableParagraph"/>
              <w:rPr>
                <w:rFonts w:ascii="Times New Roman"/>
                <w:sz w:val="6"/>
              </w:rPr>
            </w:pPr>
          </w:p>
        </w:tc>
        <w:tc>
          <w:tcPr>
            <w:tcW w:w="882" w:type="dxa"/>
            <w:tcBorders>
              <w:top w:val="single" w:sz="18" w:space="0" w:color="000000"/>
              <w:left w:val="single" w:sz="12" w:space="0" w:color="D4D4D4"/>
              <w:bottom w:val="single" w:sz="18" w:space="0" w:color="000000"/>
              <w:right w:val="single" w:sz="8" w:space="0" w:color="D4D4D4"/>
            </w:tcBorders>
          </w:tcPr>
          <w:p>
            <w:pPr>
              <w:pStyle w:val="TableParagraph"/>
              <w:rPr>
                <w:rFonts w:ascii="Times New Roman"/>
                <w:sz w:val="6"/>
              </w:rPr>
            </w:pPr>
          </w:p>
        </w:tc>
        <w:tc>
          <w:tcPr>
            <w:tcW w:w="1081" w:type="dxa"/>
            <w:tcBorders>
              <w:top w:val="single" w:sz="18" w:space="0" w:color="000000"/>
              <w:left w:val="single" w:sz="8" w:space="0" w:color="D4D4D4"/>
              <w:bottom w:val="single" w:sz="18" w:space="0" w:color="000000"/>
              <w:right w:val="single" w:sz="12" w:space="0" w:color="D4D4D4"/>
            </w:tcBorders>
          </w:tcPr>
          <w:p>
            <w:pPr>
              <w:pStyle w:val="TableParagraph"/>
              <w:rPr>
                <w:rFonts w:ascii="Times New Roman"/>
                <w:sz w:val="6"/>
              </w:rPr>
            </w:pPr>
          </w:p>
        </w:tc>
      </w:tr>
      <w:tr>
        <w:trPr>
          <w:trHeight w:val="249" w:hRule="atLeast"/>
        </w:trPr>
        <w:tc>
          <w:tcPr>
            <w:tcW w:w="3970" w:type="dxa"/>
            <w:tcBorders>
              <w:top w:val="single" w:sz="18" w:space="0" w:color="000000"/>
              <w:bottom w:val="single" w:sz="12" w:space="0" w:color="D4D4D4"/>
              <w:right w:val="single" w:sz="12" w:space="0" w:color="D4D4D4"/>
            </w:tcBorders>
          </w:tcPr>
          <w:p>
            <w:pPr>
              <w:pStyle w:val="TableParagraph"/>
              <w:spacing w:line="209" w:lineRule="exact" w:before="20"/>
              <w:ind w:left="42"/>
              <w:rPr>
                <w:rFonts w:ascii="Calibri"/>
                <w:sz w:val="20"/>
              </w:rPr>
            </w:pPr>
            <w:r>
              <w:rPr>
                <w:rFonts w:ascii="Calibri"/>
                <w:sz w:val="20"/>
              </w:rPr>
              <w:t>Assumption of Tail Claims</w:t>
            </w:r>
          </w:p>
        </w:tc>
        <w:tc>
          <w:tcPr>
            <w:tcW w:w="781" w:type="dxa"/>
            <w:tcBorders>
              <w:top w:val="single" w:sz="18" w:space="0" w:color="000000"/>
              <w:left w:val="single" w:sz="12" w:space="0" w:color="D4D4D4"/>
              <w:bottom w:val="single" w:sz="12" w:space="0" w:color="D4D4D4"/>
              <w:right w:val="single" w:sz="12" w:space="0" w:color="D4D4D4"/>
            </w:tcBorders>
          </w:tcPr>
          <w:p>
            <w:pPr>
              <w:pStyle w:val="TableParagraph"/>
              <w:rPr>
                <w:rFonts w:ascii="Times New Roman"/>
                <w:sz w:val="18"/>
              </w:rPr>
            </w:pPr>
          </w:p>
        </w:tc>
        <w:tc>
          <w:tcPr>
            <w:tcW w:w="850" w:type="dxa"/>
            <w:tcBorders>
              <w:top w:val="single" w:sz="18" w:space="0" w:color="000000"/>
              <w:left w:val="single" w:sz="12" w:space="0" w:color="D4D4D4"/>
              <w:bottom w:val="single" w:sz="12" w:space="0" w:color="D4D4D4"/>
              <w:right w:val="single" w:sz="12" w:space="0" w:color="D4D4D4"/>
            </w:tcBorders>
          </w:tcPr>
          <w:p>
            <w:pPr>
              <w:pStyle w:val="TableParagraph"/>
              <w:rPr>
                <w:rFonts w:ascii="Times New Roman"/>
                <w:sz w:val="18"/>
              </w:rPr>
            </w:pPr>
          </w:p>
        </w:tc>
        <w:tc>
          <w:tcPr>
            <w:tcW w:w="849" w:type="dxa"/>
            <w:tcBorders>
              <w:top w:val="single" w:sz="18" w:space="0" w:color="000000"/>
              <w:left w:val="single" w:sz="12" w:space="0" w:color="D4D4D4"/>
              <w:bottom w:val="single" w:sz="12" w:space="0" w:color="D4D4D4"/>
              <w:right w:val="single" w:sz="12" w:space="0" w:color="D4D4D4"/>
            </w:tcBorders>
          </w:tcPr>
          <w:p>
            <w:pPr>
              <w:pStyle w:val="TableParagraph"/>
              <w:rPr>
                <w:rFonts w:ascii="Times New Roman"/>
                <w:sz w:val="18"/>
              </w:rPr>
            </w:pPr>
          </w:p>
        </w:tc>
        <w:tc>
          <w:tcPr>
            <w:tcW w:w="833" w:type="dxa"/>
            <w:tcBorders>
              <w:top w:val="single" w:sz="18" w:space="0" w:color="000000"/>
              <w:left w:val="single" w:sz="12" w:space="0" w:color="D4D4D4"/>
              <w:bottom w:val="single" w:sz="12" w:space="0" w:color="D4D4D4"/>
              <w:right w:val="single" w:sz="12" w:space="0" w:color="D4D4D4"/>
            </w:tcBorders>
          </w:tcPr>
          <w:p>
            <w:pPr>
              <w:pStyle w:val="TableParagraph"/>
              <w:rPr>
                <w:rFonts w:ascii="Times New Roman"/>
                <w:sz w:val="18"/>
              </w:rPr>
            </w:pPr>
          </w:p>
        </w:tc>
        <w:tc>
          <w:tcPr>
            <w:tcW w:w="882" w:type="dxa"/>
            <w:tcBorders>
              <w:top w:val="single" w:sz="18" w:space="0" w:color="000000"/>
              <w:left w:val="single" w:sz="12" w:space="0" w:color="D4D4D4"/>
              <w:bottom w:val="single" w:sz="12" w:space="0" w:color="D4D4D4"/>
              <w:right w:val="single" w:sz="8" w:space="0" w:color="D4D4D4"/>
            </w:tcBorders>
          </w:tcPr>
          <w:p>
            <w:pPr>
              <w:pStyle w:val="TableParagraph"/>
              <w:rPr>
                <w:rFonts w:ascii="Times New Roman"/>
                <w:sz w:val="18"/>
              </w:rPr>
            </w:pPr>
          </w:p>
        </w:tc>
        <w:tc>
          <w:tcPr>
            <w:tcW w:w="1081" w:type="dxa"/>
            <w:tcBorders>
              <w:top w:val="single" w:sz="18" w:space="0" w:color="000000"/>
              <w:left w:val="single" w:sz="8" w:space="0" w:color="D4D4D4"/>
              <w:bottom w:val="single" w:sz="12" w:space="0" w:color="D4D4D4"/>
              <w:right w:val="single" w:sz="18" w:space="0" w:color="000000"/>
            </w:tcBorders>
          </w:tcPr>
          <w:p>
            <w:pPr>
              <w:pStyle w:val="TableParagraph"/>
              <w:rPr>
                <w:rFonts w:ascii="Times New Roman"/>
                <w:sz w:val="18"/>
              </w:rPr>
            </w:pPr>
          </w:p>
        </w:tc>
      </w:tr>
      <w:tr>
        <w:trPr>
          <w:trHeight w:val="249" w:hRule="atLeast"/>
        </w:trPr>
        <w:tc>
          <w:tcPr>
            <w:tcW w:w="3970" w:type="dxa"/>
            <w:tcBorders>
              <w:top w:val="single" w:sz="12" w:space="0" w:color="D4D4D4"/>
              <w:bottom w:val="single" w:sz="12" w:space="0" w:color="D4D4D4"/>
              <w:right w:val="single" w:sz="12" w:space="0" w:color="D4D4D4"/>
            </w:tcBorders>
          </w:tcPr>
          <w:p>
            <w:pPr>
              <w:pStyle w:val="TableParagraph"/>
              <w:spacing w:line="211" w:lineRule="exact" w:before="19"/>
              <w:ind w:left="42"/>
              <w:rPr>
                <w:rFonts w:ascii="Calibri"/>
                <w:sz w:val="20"/>
              </w:rPr>
            </w:pPr>
            <w:r>
              <w:rPr>
                <w:rFonts w:ascii="Calibri"/>
                <w:sz w:val="20"/>
              </w:rPr>
              <w:t>License Fee for VOS</w:t>
            </w:r>
          </w:p>
        </w:tc>
        <w:tc>
          <w:tcPr>
            <w:tcW w:w="781"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50"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49"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33"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82" w:type="dxa"/>
            <w:tcBorders>
              <w:top w:val="single" w:sz="12" w:space="0" w:color="D4D4D4"/>
              <w:left w:val="single" w:sz="12" w:space="0" w:color="D4D4D4"/>
              <w:bottom w:val="single" w:sz="12" w:space="0" w:color="D4D4D4"/>
              <w:right w:val="single" w:sz="8" w:space="0" w:color="D4D4D4"/>
            </w:tcBorders>
          </w:tcPr>
          <w:p>
            <w:pPr>
              <w:pStyle w:val="TableParagraph"/>
              <w:rPr>
                <w:rFonts w:ascii="Times New Roman"/>
                <w:sz w:val="18"/>
              </w:rPr>
            </w:pPr>
          </w:p>
        </w:tc>
        <w:tc>
          <w:tcPr>
            <w:tcW w:w="1081" w:type="dxa"/>
            <w:tcBorders>
              <w:top w:val="single" w:sz="12" w:space="0" w:color="D4D4D4"/>
              <w:left w:val="single" w:sz="8" w:space="0" w:color="D4D4D4"/>
              <w:bottom w:val="single" w:sz="12" w:space="0" w:color="D4D4D4"/>
              <w:right w:val="single" w:sz="18" w:space="0" w:color="000000"/>
            </w:tcBorders>
          </w:tcPr>
          <w:p>
            <w:pPr>
              <w:pStyle w:val="TableParagraph"/>
              <w:rPr>
                <w:rFonts w:ascii="Times New Roman"/>
                <w:sz w:val="18"/>
              </w:rPr>
            </w:pPr>
          </w:p>
        </w:tc>
      </w:tr>
      <w:tr>
        <w:trPr>
          <w:trHeight w:val="248" w:hRule="atLeast"/>
        </w:trPr>
        <w:tc>
          <w:tcPr>
            <w:tcW w:w="3970" w:type="dxa"/>
            <w:tcBorders>
              <w:top w:val="single" w:sz="12" w:space="0" w:color="D4D4D4"/>
              <w:bottom w:val="single" w:sz="12" w:space="0" w:color="D4D4D4"/>
              <w:right w:val="single" w:sz="12" w:space="0" w:color="D4D4D4"/>
            </w:tcBorders>
          </w:tcPr>
          <w:p>
            <w:pPr>
              <w:pStyle w:val="TableParagraph"/>
              <w:spacing w:line="211" w:lineRule="exact" w:before="17"/>
              <w:ind w:left="42"/>
              <w:rPr>
                <w:rFonts w:ascii="Calibri"/>
                <w:sz w:val="20"/>
              </w:rPr>
            </w:pPr>
            <w:r>
              <w:rPr>
                <w:rFonts w:ascii="Calibri"/>
                <w:sz w:val="20"/>
              </w:rPr>
              <w:t>Monthly Reports</w:t>
            </w:r>
          </w:p>
        </w:tc>
        <w:tc>
          <w:tcPr>
            <w:tcW w:w="781"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50"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49"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33"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82" w:type="dxa"/>
            <w:tcBorders>
              <w:top w:val="single" w:sz="12" w:space="0" w:color="D4D4D4"/>
              <w:left w:val="single" w:sz="12" w:space="0" w:color="D4D4D4"/>
              <w:bottom w:val="single" w:sz="12" w:space="0" w:color="D4D4D4"/>
              <w:right w:val="single" w:sz="8" w:space="0" w:color="D4D4D4"/>
            </w:tcBorders>
          </w:tcPr>
          <w:p>
            <w:pPr>
              <w:pStyle w:val="TableParagraph"/>
              <w:rPr>
                <w:rFonts w:ascii="Times New Roman"/>
                <w:sz w:val="18"/>
              </w:rPr>
            </w:pPr>
          </w:p>
        </w:tc>
        <w:tc>
          <w:tcPr>
            <w:tcW w:w="1081" w:type="dxa"/>
            <w:tcBorders>
              <w:top w:val="single" w:sz="12" w:space="0" w:color="D4D4D4"/>
              <w:left w:val="single" w:sz="8" w:space="0" w:color="D4D4D4"/>
              <w:bottom w:val="single" w:sz="12" w:space="0" w:color="D4D4D4"/>
              <w:right w:val="single" w:sz="18" w:space="0" w:color="000000"/>
            </w:tcBorders>
          </w:tcPr>
          <w:p>
            <w:pPr>
              <w:pStyle w:val="TableParagraph"/>
              <w:rPr>
                <w:rFonts w:ascii="Times New Roman"/>
                <w:sz w:val="18"/>
              </w:rPr>
            </w:pPr>
          </w:p>
        </w:tc>
      </w:tr>
      <w:tr>
        <w:trPr>
          <w:trHeight w:val="248" w:hRule="atLeast"/>
        </w:trPr>
        <w:tc>
          <w:tcPr>
            <w:tcW w:w="3970" w:type="dxa"/>
            <w:tcBorders>
              <w:top w:val="single" w:sz="12" w:space="0" w:color="D4D4D4"/>
              <w:bottom w:val="single" w:sz="12" w:space="0" w:color="D4D4D4"/>
              <w:right w:val="single" w:sz="12" w:space="0" w:color="D4D4D4"/>
            </w:tcBorders>
          </w:tcPr>
          <w:p>
            <w:pPr>
              <w:pStyle w:val="TableParagraph"/>
              <w:spacing w:line="209" w:lineRule="exact" w:before="19"/>
              <w:ind w:left="42"/>
              <w:rPr>
                <w:rFonts w:ascii="Calibri"/>
                <w:sz w:val="20"/>
              </w:rPr>
            </w:pPr>
            <w:r>
              <w:rPr>
                <w:rFonts w:ascii="Calibri"/>
                <w:sz w:val="20"/>
              </w:rPr>
              <w:t>SIP Annual Report</w:t>
            </w:r>
          </w:p>
        </w:tc>
        <w:tc>
          <w:tcPr>
            <w:tcW w:w="781"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50"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49"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33"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82" w:type="dxa"/>
            <w:tcBorders>
              <w:top w:val="single" w:sz="12" w:space="0" w:color="D4D4D4"/>
              <w:left w:val="single" w:sz="12" w:space="0" w:color="D4D4D4"/>
              <w:bottom w:val="single" w:sz="12" w:space="0" w:color="D4D4D4"/>
              <w:right w:val="single" w:sz="8" w:space="0" w:color="D4D4D4"/>
            </w:tcBorders>
          </w:tcPr>
          <w:p>
            <w:pPr>
              <w:pStyle w:val="TableParagraph"/>
              <w:rPr>
                <w:rFonts w:ascii="Times New Roman"/>
                <w:sz w:val="18"/>
              </w:rPr>
            </w:pPr>
          </w:p>
        </w:tc>
        <w:tc>
          <w:tcPr>
            <w:tcW w:w="1081" w:type="dxa"/>
            <w:tcBorders>
              <w:top w:val="single" w:sz="12" w:space="0" w:color="D4D4D4"/>
              <w:left w:val="single" w:sz="8" w:space="0" w:color="D4D4D4"/>
              <w:bottom w:val="single" w:sz="12" w:space="0" w:color="D4D4D4"/>
              <w:right w:val="single" w:sz="18" w:space="0" w:color="000000"/>
            </w:tcBorders>
          </w:tcPr>
          <w:p>
            <w:pPr>
              <w:pStyle w:val="TableParagraph"/>
              <w:rPr>
                <w:rFonts w:ascii="Times New Roman"/>
                <w:sz w:val="18"/>
              </w:rPr>
            </w:pPr>
          </w:p>
        </w:tc>
      </w:tr>
      <w:tr>
        <w:trPr>
          <w:trHeight w:val="248" w:hRule="atLeast"/>
        </w:trPr>
        <w:tc>
          <w:tcPr>
            <w:tcW w:w="3970" w:type="dxa"/>
            <w:tcBorders>
              <w:top w:val="single" w:sz="12" w:space="0" w:color="D4D4D4"/>
              <w:bottom w:val="single" w:sz="12" w:space="0" w:color="D4D4D4"/>
              <w:right w:val="single" w:sz="12" w:space="0" w:color="D4D4D4"/>
            </w:tcBorders>
          </w:tcPr>
          <w:p>
            <w:pPr>
              <w:pStyle w:val="TableParagraph"/>
              <w:spacing w:line="209" w:lineRule="exact" w:before="19"/>
              <w:ind w:left="42"/>
              <w:rPr>
                <w:rFonts w:ascii="Calibri"/>
                <w:sz w:val="20"/>
              </w:rPr>
            </w:pPr>
            <w:r>
              <w:rPr>
                <w:rFonts w:ascii="Calibri"/>
                <w:sz w:val="20"/>
              </w:rPr>
              <w:t>1099's</w:t>
            </w:r>
          </w:p>
        </w:tc>
        <w:tc>
          <w:tcPr>
            <w:tcW w:w="781"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50"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49"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33"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82" w:type="dxa"/>
            <w:tcBorders>
              <w:top w:val="single" w:sz="12" w:space="0" w:color="D4D4D4"/>
              <w:left w:val="single" w:sz="12" w:space="0" w:color="D4D4D4"/>
              <w:bottom w:val="single" w:sz="12" w:space="0" w:color="D4D4D4"/>
              <w:right w:val="single" w:sz="8" w:space="0" w:color="D4D4D4"/>
            </w:tcBorders>
          </w:tcPr>
          <w:p>
            <w:pPr>
              <w:pStyle w:val="TableParagraph"/>
              <w:rPr>
                <w:rFonts w:ascii="Times New Roman"/>
                <w:sz w:val="18"/>
              </w:rPr>
            </w:pPr>
          </w:p>
        </w:tc>
        <w:tc>
          <w:tcPr>
            <w:tcW w:w="1081" w:type="dxa"/>
            <w:tcBorders>
              <w:top w:val="single" w:sz="12" w:space="0" w:color="D4D4D4"/>
              <w:left w:val="single" w:sz="8" w:space="0" w:color="D4D4D4"/>
              <w:bottom w:val="single" w:sz="12" w:space="0" w:color="D4D4D4"/>
              <w:right w:val="single" w:sz="18" w:space="0" w:color="000000"/>
            </w:tcBorders>
          </w:tcPr>
          <w:p>
            <w:pPr>
              <w:pStyle w:val="TableParagraph"/>
              <w:rPr>
                <w:rFonts w:ascii="Times New Roman"/>
                <w:sz w:val="18"/>
              </w:rPr>
            </w:pPr>
          </w:p>
        </w:tc>
      </w:tr>
      <w:tr>
        <w:trPr>
          <w:trHeight w:val="249" w:hRule="atLeast"/>
        </w:trPr>
        <w:tc>
          <w:tcPr>
            <w:tcW w:w="3970" w:type="dxa"/>
            <w:tcBorders>
              <w:top w:val="single" w:sz="12" w:space="0" w:color="D4D4D4"/>
              <w:bottom w:val="single" w:sz="12" w:space="0" w:color="D4D4D4"/>
              <w:right w:val="single" w:sz="12" w:space="0" w:color="D4D4D4"/>
            </w:tcBorders>
          </w:tcPr>
          <w:p>
            <w:pPr>
              <w:pStyle w:val="TableParagraph"/>
              <w:spacing w:line="211" w:lineRule="exact" w:before="19"/>
              <w:ind w:left="42"/>
              <w:rPr>
                <w:rFonts w:ascii="Calibri"/>
                <w:sz w:val="20"/>
              </w:rPr>
            </w:pPr>
            <w:r>
              <w:rPr>
                <w:rFonts w:ascii="Calibri"/>
                <w:sz w:val="20"/>
              </w:rPr>
              <w:t>DWC-1, Posters,Pamphlets</w:t>
            </w:r>
          </w:p>
        </w:tc>
        <w:tc>
          <w:tcPr>
            <w:tcW w:w="781"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50"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49"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33"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82" w:type="dxa"/>
            <w:tcBorders>
              <w:top w:val="single" w:sz="12" w:space="0" w:color="D4D4D4"/>
              <w:left w:val="single" w:sz="12" w:space="0" w:color="D4D4D4"/>
              <w:bottom w:val="single" w:sz="12" w:space="0" w:color="D4D4D4"/>
              <w:right w:val="single" w:sz="8" w:space="0" w:color="D4D4D4"/>
            </w:tcBorders>
          </w:tcPr>
          <w:p>
            <w:pPr>
              <w:pStyle w:val="TableParagraph"/>
              <w:rPr>
                <w:rFonts w:ascii="Times New Roman"/>
                <w:sz w:val="18"/>
              </w:rPr>
            </w:pPr>
          </w:p>
        </w:tc>
        <w:tc>
          <w:tcPr>
            <w:tcW w:w="1081" w:type="dxa"/>
            <w:tcBorders>
              <w:top w:val="single" w:sz="12" w:space="0" w:color="D4D4D4"/>
              <w:left w:val="single" w:sz="8" w:space="0" w:color="D4D4D4"/>
              <w:bottom w:val="single" w:sz="12" w:space="0" w:color="D4D4D4"/>
              <w:right w:val="single" w:sz="18" w:space="0" w:color="000000"/>
            </w:tcBorders>
          </w:tcPr>
          <w:p>
            <w:pPr>
              <w:pStyle w:val="TableParagraph"/>
              <w:rPr>
                <w:rFonts w:ascii="Times New Roman"/>
                <w:sz w:val="18"/>
              </w:rPr>
            </w:pPr>
          </w:p>
        </w:tc>
      </w:tr>
      <w:tr>
        <w:trPr>
          <w:trHeight w:val="248" w:hRule="atLeast"/>
        </w:trPr>
        <w:tc>
          <w:tcPr>
            <w:tcW w:w="3970" w:type="dxa"/>
            <w:tcBorders>
              <w:top w:val="single" w:sz="12" w:space="0" w:color="D4D4D4"/>
              <w:bottom w:val="single" w:sz="12" w:space="0" w:color="D4D4D4"/>
              <w:right w:val="single" w:sz="12" w:space="0" w:color="D4D4D4"/>
            </w:tcBorders>
          </w:tcPr>
          <w:p>
            <w:pPr>
              <w:pStyle w:val="TableParagraph"/>
              <w:spacing w:line="211" w:lineRule="exact" w:before="17"/>
              <w:ind w:left="42"/>
              <w:rPr>
                <w:rFonts w:ascii="Calibri"/>
                <w:sz w:val="20"/>
              </w:rPr>
            </w:pPr>
            <w:r>
              <w:rPr>
                <w:rFonts w:ascii="Calibri"/>
                <w:sz w:val="20"/>
              </w:rPr>
              <w:t>Index Checking</w:t>
            </w:r>
          </w:p>
        </w:tc>
        <w:tc>
          <w:tcPr>
            <w:tcW w:w="781"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50"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49"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33"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82" w:type="dxa"/>
            <w:tcBorders>
              <w:top w:val="single" w:sz="12" w:space="0" w:color="D4D4D4"/>
              <w:left w:val="single" w:sz="12" w:space="0" w:color="D4D4D4"/>
              <w:bottom w:val="single" w:sz="12" w:space="0" w:color="D4D4D4"/>
              <w:right w:val="single" w:sz="8" w:space="0" w:color="D4D4D4"/>
            </w:tcBorders>
          </w:tcPr>
          <w:p>
            <w:pPr>
              <w:pStyle w:val="TableParagraph"/>
              <w:rPr>
                <w:rFonts w:ascii="Times New Roman"/>
                <w:sz w:val="18"/>
              </w:rPr>
            </w:pPr>
          </w:p>
        </w:tc>
        <w:tc>
          <w:tcPr>
            <w:tcW w:w="1081" w:type="dxa"/>
            <w:tcBorders>
              <w:top w:val="single" w:sz="12" w:space="0" w:color="D4D4D4"/>
              <w:left w:val="single" w:sz="8" w:space="0" w:color="D4D4D4"/>
              <w:bottom w:val="single" w:sz="12" w:space="0" w:color="D4D4D4"/>
              <w:right w:val="single" w:sz="18" w:space="0" w:color="000000"/>
            </w:tcBorders>
          </w:tcPr>
          <w:p>
            <w:pPr>
              <w:pStyle w:val="TableParagraph"/>
              <w:rPr>
                <w:rFonts w:ascii="Times New Roman"/>
                <w:sz w:val="18"/>
              </w:rPr>
            </w:pPr>
          </w:p>
        </w:tc>
      </w:tr>
      <w:tr>
        <w:trPr>
          <w:trHeight w:val="248" w:hRule="atLeast"/>
        </w:trPr>
        <w:tc>
          <w:tcPr>
            <w:tcW w:w="3970" w:type="dxa"/>
            <w:tcBorders>
              <w:top w:val="single" w:sz="12" w:space="0" w:color="D4D4D4"/>
              <w:bottom w:val="single" w:sz="12" w:space="0" w:color="D4D4D4"/>
              <w:right w:val="single" w:sz="12" w:space="0" w:color="D4D4D4"/>
            </w:tcBorders>
          </w:tcPr>
          <w:p>
            <w:pPr>
              <w:pStyle w:val="TableParagraph"/>
              <w:spacing w:line="209" w:lineRule="exact" w:before="19"/>
              <w:ind w:left="42"/>
              <w:rPr>
                <w:rFonts w:ascii="Calibri"/>
                <w:sz w:val="20"/>
              </w:rPr>
            </w:pPr>
            <w:r>
              <w:rPr>
                <w:rFonts w:ascii="Calibri"/>
                <w:sz w:val="20"/>
              </w:rPr>
              <w:t>Attendance at Hearings</w:t>
            </w:r>
          </w:p>
        </w:tc>
        <w:tc>
          <w:tcPr>
            <w:tcW w:w="781"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50"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49"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33"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82" w:type="dxa"/>
            <w:tcBorders>
              <w:top w:val="single" w:sz="12" w:space="0" w:color="D4D4D4"/>
              <w:left w:val="single" w:sz="12" w:space="0" w:color="D4D4D4"/>
              <w:bottom w:val="single" w:sz="12" w:space="0" w:color="D4D4D4"/>
              <w:right w:val="single" w:sz="8" w:space="0" w:color="D4D4D4"/>
            </w:tcBorders>
          </w:tcPr>
          <w:p>
            <w:pPr>
              <w:pStyle w:val="TableParagraph"/>
              <w:rPr>
                <w:rFonts w:ascii="Times New Roman"/>
                <w:sz w:val="18"/>
              </w:rPr>
            </w:pPr>
          </w:p>
        </w:tc>
        <w:tc>
          <w:tcPr>
            <w:tcW w:w="1081" w:type="dxa"/>
            <w:tcBorders>
              <w:top w:val="single" w:sz="12" w:space="0" w:color="D4D4D4"/>
              <w:left w:val="single" w:sz="8" w:space="0" w:color="D4D4D4"/>
              <w:bottom w:val="single" w:sz="12" w:space="0" w:color="D4D4D4"/>
              <w:right w:val="single" w:sz="18" w:space="0" w:color="000000"/>
            </w:tcBorders>
          </w:tcPr>
          <w:p>
            <w:pPr>
              <w:pStyle w:val="TableParagraph"/>
              <w:rPr>
                <w:rFonts w:ascii="Times New Roman"/>
                <w:sz w:val="18"/>
              </w:rPr>
            </w:pPr>
          </w:p>
        </w:tc>
      </w:tr>
      <w:tr>
        <w:trPr>
          <w:trHeight w:val="249" w:hRule="atLeast"/>
        </w:trPr>
        <w:tc>
          <w:tcPr>
            <w:tcW w:w="3970" w:type="dxa"/>
            <w:tcBorders>
              <w:top w:val="single" w:sz="12" w:space="0" w:color="D4D4D4"/>
              <w:bottom w:val="single" w:sz="12" w:space="0" w:color="D4D4D4"/>
              <w:right w:val="single" w:sz="12" w:space="0" w:color="D4D4D4"/>
            </w:tcBorders>
          </w:tcPr>
          <w:p>
            <w:pPr>
              <w:pStyle w:val="TableParagraph"/>
              <w:spacing w:line="211" w:lineRule="exact" w:before="19"/>
              <w:ind w:left="42"/>
              <w:rPr>
                <w:rFonts w:ascii="Calibri"/>
                <w:sz w:val="20"/>
              </w:rPr>
            </w:pPr>
            <w:r>
              <w:rPr>
                <w:rFonts w:ascii="Calibri"/>
                <w:sz w:val="20"/>
              </w:rPr>
              <w:t>Storage of Claims</w:t>
            </w:r>
          </w:p>
        </w:tc>
        <w:tc>
          <w:tcPr>
            <w:tcW w:w="781"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50"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49"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33"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82" w:type="dxa"/>
            <w:tcBorders>
              <w:top w:val="single" w:sz="12" w:space="0" w:color="D4D4D4"/>
              <w:left w:val="single" w:sz="12" w:space="0" w:color="D4D4D4"/>
              <w:bottom w:val="single" w:sz="12" w:space="0" w:color="D4D4D4"/>
              <w:right w:val="single" w:sz="8" w:space="0" w:color="D4D4D4"/>
            </w:tcBorders>
          </w:tcPr>
          <w:p>
            <w:pPr>
              <w:pStyle w:val="TableParagraph"/>
              <w:rPr>
                <w:rFonts w:ascii="Times New Roman"/>
                <w:sz w:val="18"/>
              </w:rPr>
            </w:pPr>
          </w:p>
        </w:tc>
        <w:tc>
          <w:tcPr>
            <w:tcW w:w="1081" w:type="dxa"/>
            <w:tcBorders>
              <w:top w:val="single" w:sz="12" w:space="0" w:color="D4D4D4"/>
              <w:left w:val="single" w:sz="8" w:space="0" w:color="D4D4D4"/>
              <w:bottom w:val="single" w:sz="12" w:space="0" w:color="D4D4D4"/>
              <w:right w:val="single" w:sz="18" w:space="0" w:color="000000"/>
            </w:tcBorders>
          </w:tcPr>
          <w:p>
            <w:pPr>
              <w:pStyle w:val="TableParagraph"/>
              <w:rPr>
                <w:rFonts w:ascii="Times New Roman"/>
                <w:sz w:val="18"/>
              </w:rPr>
            </w:pPr>
          </w:p>
        </w:tc>
      </w:tr>
      <w:tr>
        <w:trPr>
          <w:trHeight w:val="248" w:hRule="atLeast"/>
        </w:trPr>
        <w:tc>
          <w:tcPr>
            <w:tcW w:w="3970" w:type="dxa"/>
            <w:tcBorders>
              <w:top w:val="single" w:sz="12" w:space="0" w:color="D4D4D4"/>
              <w:bottom w:val="single" w:sz="12" w:space="0" w:color="D4D4D4"/>
              <w:right w:val="single" w:sz="12" w:space="0" w:color="D4D4D4"/>
            </w:tcBorders>
          </w:tcPr>
          <w:p>
            <w:pPr>
              <w:pStyle w:val="TableParagraph"/>
              <w:spacing w:line="211" w:lineRule="exact" w:before="17"/>
              <w:ind w:left="42"/>
              <w:rPr>
                <w:rFonts w:ascii="Calibri"/>
                <w:sz w:val="20"/>
              </w:rPr>
            </w:pPr>
            <w:r>
              <w:rPr>
                <w:rFonts w:ascii="Calibri"/>
                <w:sz w:val="20"/>
              </w:rPr>
              <w:t>Check Printing</w:t>
            </w:r>
          </w:p>
        </w:tc>
        <w:tc>
          <w:tcPr>
            <w:tcW w:w="781"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50"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49"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33"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82" w:type="dxa"/>
            <w:tcBorders>
              <w:top w:val="single" w:sz="12" w:space="0" w:color="D4D4D4"/>
              <w:left w:val="single" w:sz="12" w:space="0" w:color="D4D4D4"/>
              <w:bottom w:val="single" w:sz="12" w:space="0" w:color="D4D4D4"/>
              <w:right w:val="single" w:sz="8" w:space="0" w:color="D4D4D4"/>
            </w:tcBorders>
          </w:tcPr>
          <w:p>
            <w:pPr>
              <w:pStyle w:val="TableParagraph"/>
              <w:rPr>
                <w:rFonts w:ascii="Times New Roman"/>
                <w:sz w:val="18"/>
              </w:rPr>
            </w:pPr>
          </w:p>
        </w:tc>
        <w:tc>
          <w:tcPr>
            <w:tcW w:w="1081" w:type="dxa"/>
            <w:tcBorders>
              <w:top w:val="single" w:sz="12" w:space="0" w:color="D4D4D4"/>
              <w:left w:val="single" w:sz="8" w:space="0" w:color="D4D4D4"/>
              <w:bottom w:val="single" w:sz="12" w:space="0" w:color="D4D4D4"/>
              <w:right w:val="single" w:sz="18" w:space="0" w:color="000000"/>
            </w:tcBorders>
          </w:tcPr>
          <w:p>
            <w:pPr>
              <w:pStyle w:val="TableParagraph"/>
              <w:rPr>
                <w:rFonts w:ascii="Times New Roman"/>
                <w:sz w:val="18"/>
              </w:rPr>
            </w:pPr>
          </w:p>
        </w:tc>
      </w:tr>
      <w:tr>
        <w:trPr>
          <w:trHeight w:val="248" w:hRule="atLeast"/>
        </w:trPr>
        <w:tc>
          <w:tcPr>
            <w:tcW w:w="3970" w:type="dxa"/>
            <w:tcBorders>
              <w:top w:val="single" w:sz="12" w:space="0" w:color="D4D4D4"/>
              <w:bottom w:val="single" w:sz="12" w:space="0" w:color="D4D4D4"/>
              <w:right w:val="single" w:sz="12" w:space="0" w:color="D4D4D4"/>
            </w:tcBorders>
          </w:tcPr>
          <w:p>
            <w:pPr>
              <w:pStyle w:val="TableParagraph"/>
              <w:spacing w:line="209" w:lineRule="exact" w:before="19"/>
              <w:ind w:left="42"/>
              <w:rPr>
                <w:rFonts w:ascii="Calibri"/>
                <w:sz w:val="20"/>
              </w:rPr>
            </w:pPr>
            <w:r>
              <w:rPr>
                <w:rFonts w:ascii="Calibri"/>
                <w:sz w:val="20"/>
              </w:rPr>
              <w:t>Bank Fees</w:t>
            </w:r>
          </w:p>
        </w:tc>
        <w:tc>
          <w:tcPr>
            <w:tcW w:w="781"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50"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49"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33"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82" w:type="dxa"/>
            <w:tcBorders>
              <w:top w:val="single" w:sz="12" w:space="0" w:color="D4D4D4"/>
              <w:left w:val="single" w:sz="12" w:space="0" w:color="D4D4D4"/>
              <w:bottom w:val="single" w:sz="12" w:space="0" w:color="D4D4D4"/>
              <w:right w:val="single" w:sz="8" w:space="0" w:color="D4D4D4"/>
            </w:tcBorders>
          </w:tcPr>
          <w:p>
            <w:pPr>
              <w:pStyle w:val="TableParagraph"/>
              <w:rPr>
                <w:rFonts w:ascii="Times New Roman"/>
                <w:sz w:val="18"/>
              </w:rPr>
            </w:pPr>
          </w:p>
        </w:tc>
        <w:tc>
          <w:tcPr>
            <w:tcW w:w="1081" w:type="dxa"/>
            <w:tcBorders>
              <w:top w:val="single" w:sz="12" w:space="0" w:color="D4D4D4"/>
              <w:left w:val="single" w:sz="8" w:space="0" w:color="D4D4D4"/>
              <w:bottom w:val="single" w:sz="12" w:space="0" w:color="D4D4D4"/>
              <w:right w:val="single" w:sz="18" w:space="0" w:color="000000"/>
            </w:tcBorders>
          </w:tcPr>
          <w:p>
            <w:pPr>
              <w:pStyle w:val="TableParagraph"/>
              <w:rPr>
                <w:rFonts w:ascii="Times New Roman"/>
                <w:sz w:val="18"/>
              </w:rPr>
            </w:pPr>
          </w:p>
        </w:tc>
      </w:tr>
      <w:tr>
        <w:trPr>
          <w:trHeight w:val="248" w:hRule="atLeast"/>
        </w:trPr>
        <w:tc>
          <w:tcPr>
            <w:tcW w:w="3970" w:type="dxa"/>
            <w:tcBorders>
              <w:top w:val="single" w:sz="12" w:space="0" w:color="D4D4D4"/>
              <w:bottom w:val="single" w:sz="12" w:space="0" w:color="D4D4D4"/>
              <w:right w:val="single" w:sz="12" w:space="0" w:color="D4D4D4"/>
            </w:tcBorders>
          </w:tcPr>
          <w:p>
            <w:pPr>
              <w:pStyle w:val="TableParagraph"/>
              <w:spacing w:line="209" w:lineRule="exact" w:before="19"/>
              <w:ind w:left="42"/>
              <w:rPr>
                <w:rFonts w:ascii="Calibri"/>
                <w:sz w:val="20"/>
              </w:rPr>
            </w:pPr>
            <w:r>
              <w:rPr>
                <w:rFonts w:ascii="Calibri"/>
                <w:sz w:val="20"/>
              </w:rPr>
              <w:t>UR Stat Approvals</w:t>
            </w:r>
          </w:p>
        </w:tc>
        <w:tc>
          <w:tcPr>
            <w:tcW w:w="781"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50"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49"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33"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82" w:type="dxa"/>
            <w:tcBorders>
              <w:top w:val="single" w:sz="12" w:space="0" w:color="D4D4D4"/>
              <w:left w:val="single" w:sz="12" w:space="0" w:color="D4D4D4"/>
              <w:bottom w:val="single" w:sz="12" w:space="0" w:color="D4D4D4"/>
              <w:right w:val="single" w:sz="8" w:space="0" w:color="D4D4D4"/>
            </w:tcBorders>
          </w:tcPr>
          <w:p>
            <w:pPr>
              <w:pStyle w:val="TableParagraph"/>
              <w:rPr>
                <w:rFonts w:ascii="Times New Roman"/>
                <w:sz w:val="18"/>
              </w:rPr>
            </w:pPr>
          </w:p>
        </w:tc>
        <w:tc>
          <w:tcPr>
            <w:tcW w:w="1081" w:type="dxa"/>
            <w:tcBorders>
              <w:top w:val="single" w:sz="12" w:space="0" w:color="D4D4D4"/>
              <w:left w:val="single" w:sz="8" w:space="0" w:color="D4D4D4"/>
              <w:bottom w:val="single" w:sz="12" w:space="0" w:color="D4D4D4"/>
              <w:right w:val="single" w:sz="18" w:space="0" w:color="000000"/>
            </w:tcBorders>
          </w:tcPr>
          <w:p>
            <w:pPr>
              <w:pStyle w:val="TableParagraph"/>
              <w:rPr>
                <w:rFonts w:ascii="Times New Roman"/>
                <w:sz w:val="18"/>
              </w:rPr>
            </w:pPr>
          </w:p>
        </w:tc>
      </w:tr>
      <w:tr>
        <w:trPr>
          <w:trHeight w:val="249" w:hRule="atLeast"/>
        </w:trPr>
        <w:tc>
          <w:tcPr>
            <w:tcW w:w="3970" w:type="dxa"/>
            <w:tcBorders>
              <w:top w:val="single" w:sz="12" w:space="0" w:color="D4D4D4"/>
              <w:bottom w:val="single" w:sz="12" w:space="0" w:color="D4D4D4"/>
              <w:right w:val="single" w:sz="12" w:space="0" w:color="D4D4D4"/>
            </w:tcBorders>
          </w:tcPr>
          <w:p>
            <w:pPr>
              <w:pStyle w:val="TableParagraph"/>
              <w:spacing w:line="211" w:lineRule="exact" w:before="19"/>
              <w:ind w:left="42"/>
              <w:rPr>
                <w:rFonts w:ascii="Calibri"/>
                <w:sz w:val="20"/>
              </w:rPr>
            </w:pPr>
            <w:r>
              <w:rPr>
                <w:rFonts w:ascii="Calibri"/>
                <w:sz w:val="20"/>
              </w:rPr>
              <w:t>Filing Fees</w:t>
            </w:r>
          </w:p>
        </w:tc>
        <w:tc>
          <w:tcPr>
            <w:tcW w:w="781"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50"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49"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33"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82" w:type="dxa"/>
            <w:tcBorders>
              <w:top w:val="single" w:sz="12" w:space="0" w:color="D4D4D4"/>
              <w:left w:val="single" w:sz="12" w:space="0" w:color="D4D4D4"/>
              <w:bottom w:val="single" w:sz="12" w:space="0" w:color="D4D4D4"/>
              <w:right w:val="single" w:sz="8" w:space="0" w:color="D4D4D4"/>
            </w:tcBorders>
          </w:tcPr>
          <w:p>
            <w:pPr>
              <w:pStyle w:val="TableParagraph"/>
              <w:rPr>
                <w:rFonts w:ascii="Times New Roman"/>
                <w:sz w:val="18"/>
              </w:rPr>
            </w:pPr>
          </w:p>
        </w:tc>
        <w:tc>
          <w:tcPr>
            <w:tcW w:w="1081" w:type="dxa"/>
            <w:tcBorders>
              <w:top w:val="single" w:sz="12" w:space="0" w:color="D4D4D4"/>
              <w:left w:val="single" w:sz="8" w:space="0" w:color="D4D4D4"/>
              <w:bottom w:val="single" w:sz="12" w:space="0" w:color="D4D4D4"/>
              <w:right w:val="single" w:sz="18" w:space="0" w:color="000000"/>
            </w:tcBorders>
          </w:tcPr>
          <w:p>
            <w:pPr>
              <w:pStyle w:val="TableParagraph"/>
              <w:rPr>
                <w:rFonts w:ascii="Times New Roman"/>
                <w:sz w:val="18"/>
              </w:rPr>
            </w:pPr>
          </w:p>
        </w:tc>
      </w:tr>
      <w:tr>
        <w:trPr>
          <w:trHeight w:val="248" w:hRule="atLeast"/>
        </w:trPr>
        <w:tc>
          <w:tcPr>
            <w:tcW w:w="3970" w:type="dxa"/>
            <w:tcBorders>
              <w:top w:val="single" w:sz="12" w:space="0" w:color="D4D4D4"/>
              <w:bottom w:val="single" w:sz="12" w:space="0" w:color="D4D4D4"/>
              <w:right w:val="single" w:sz="12" w:space="0" w:color="D4D4D4"/>
            </w:tcBorders>
          </w:tcPr>
          <w:p>
            <w:pPr>
              <w:pStyle w:val="TableParagraph"/>
              <w:spacing w:line="211" w:lineRule="exact" w:before="17"/>
              <w:ind w:left="42"/>
              <w:rPr>
                <w:rFonts w:ascii="Calibri"/>
                <w:sz w:val="20"/>
              </w:rPr>
            </w:pPr>
            <w:r>
              <w:rPr>
                <w:rFonts w:ascii="Calibri"/>
                <w:sz w:val="20"/>
              </w:rPr>
              <w:t>Correspondence Fees</w:t>
            </w:r>
          </w:p>
        </w:tc>
        <w:tc>
          <w:tcPr>
            <w:tcW w:w="781"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50"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49"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33"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82" w:type="dxa"/>
            <w:tcBorders>
              <w:top w:val="single" w:sz="12" w:space="0" w:color="D4D4D4"/>
              <w:left w:val="single" w:sz="12" w:space="0" w:color="D4D4D4"/>
              <w:bottom w:val="single" w:sz="12" w:space="0" w:color="D4D4D4"/>
              <w:right w:val="single" w:sz="8" w:space="0" w:color="D4D4D4"/>
            </w:tcBorders>
          </w:tcPr>
          <w:p>
            <w:pPr>
              <w:pStyle w:val="TableParagraph"/>
              <w:rPr>
                <w:rFonts w:ascii="Times New Roman"/>
                <w:sz w:val="18"/>
              </w:rPr>
            </w:pPr>
          </w:p>
        </w:tc>
        <w:tc>
          <w:tcPr>
            <w:tcW w:w="1081" w:type="dxa"/>
            <w:tcBorders>
              <w:top w:val="single" w:sz="12" w:space="0" w:color="D4D4D4"/>
              <w:left w:val="single" w:sz="8" w:space="0" w:color="D4D4D4"/>
              <w:bottom w:val="single" w:sz="12" w:space="0" w:color="D4D4D4"/>
              <w:right w:val="single" w:sz="18" w:space="0" w:color="000000"/>
            </w:tcBorders>
          </w:tcPr>
          <w:p>
            <w:pPr>
              <w:pStyle w:val="TableParagraph"/>
              <w:rPr>
                <w:rFonts w:ascii="Times New Roman"/>
                <w:sz w:val="18"/>
              </w:rPr>
            </w:pPr>
          </w:p>
        </w:tc>
      </w:tr>
      <w:tr>
        <w:trPr>
          <w:trHeight w:val="248" w:hRule="atLeast"/>
        </w:trPr>
        <w:tc>
          <w:tcPr>
            <w:tcW w:w="3970" w:type="dxa"/>
            <w:tcBorders>
              <w:top w:val="single" w:sz="12" w:space="0" w:color="D4D4D4"/>
              <w:bottom w:val="single" w:sz="12" w:space="0" w:color="D4D4D4"/>
              <w:right w:val="single" w:sz="12" w:space="0" w:color="D4D4D4"/>
            </w:tcBorders>
          </w:tcPr>
          <w:p>
            <w:pPr>
              <w:pStyle w:val="TableParagraph"/>
              <w:spacing w:line="209" w:lineRule="exact" w:before="19"/>
              <w:ind w:left="42"/>
              <w:rPr>
                <w:rFonts w:ascii="Calibri"/>
                <w:sz w:val="20"/>
              </w:rPr>
            </w:pPr>
            <w:r>
              <w:rPr>
                <w:rFonts w:ascii="Calibri"/>
                <w:sz w:val="20"/>
              </w:rPr>
              <w:t>Conversion Fee</w:t>
            </w:r>
          </w:p>
        </w:tc>
        <w:tc>
          <w:tcPr>
            <w:tcW w:w="781"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50"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49"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33"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82" w:type="dxa"/>
            <w:tcBorders>
              <w:top w:val="single" w:sz="12" w:space="0" w:color="D4D4D4"/>
              <w:left w:val="single" w:sz="12" w:space="0" w:color="D4D4D4"/>
              <w:bottom w:val="single" w:sz="12" w:space="0" w:color="D4D4D4"/>
              <w:right w:val="single" w:sz="8" w:space="0" w:color="D4D4D4"/>
            </w:tcBorders>
          </w:tcPr>
          <w:p>
            <w:pPr>
              <w:pStyle w:val="TableParagraph"/>
              <w:rPr>
                <w:rFonts w:ascii="Times New Roman"/>
                <w:sz w:val="18"/>
              </w:rPr>
            </w:pPr>
          </w:p>
        </w:tc>
        <w:tc>
          <w:tcPr>
            <w:tcW w:w="1081" w:type="dxa"/>
            <w:tcBorders>
              <w:top w:val="single" w:sz="12" w:space="0" w:color="D4D4D4"/>
              <w:left w:val="single" w:sz="8" w:space="0" w:color="D4D4D4"/>
              <w:bottom w:val="single" w:sz="12" w:space="0" w:color="D4D4D4"/>
              <w:right w:val="single" w:sz="18" w:space="0" w:color="000000"/>
            </w:tcBorders>
          </w:tcPr>
          <w:p>
            <w:pPr>
              <w:pStyle w:val="TableParagraph"/>
              <w:rPr>
                <w:rFonts w:ascii="Times New Roman"/>
                <w:sz w:val="18"/>
              </w:rPr>
            </w:pPr>
          </w:p>
        </w:tc>
      </w:tr>
      <w:tr>
        <w:trPr>
          <w:trHeight w:val="249" w:hRule="atLeast"/>
        </w:trPr>
        <w:tc>
          <w:tcPr>
            <w:tcW w:w="3970" w:type="dxa"/>
            <w:tcBorders>
              <w:top w:val="single" w:sz="12" w:space="0" w:color="D4D4D4"/>
              <w:bottom w:val="single" w:sz="12" w:space="0" w:color="D4D4D4"/>
              <w:right w:val="single" w:sz="12" w:space="0" w:color="D4D4D4"/>
            </w:tcBorders>
          </w:tcPr>
          <w:p>
            <w:pPr>
              <w:pStyle w:val="TableParagraph"/>
              <w:spacing w:line="211" w:lineRule="exact" w:before="19"/>
              <w:ind w:left="42"/>
              <w:rPr>
                <w:rFonts w:ascii="Calibri"/>
                <w:sz w:val="20"/>
              </w:rPr>
            </w:pPr>
            <w:r>
              <w:rPr>
                <w:rFonts w:ascii="Calibri"/>
                <w:sz w:val="20"/>
              </w:rPr>
              <w:t>MMSEA Fee</w:t>
            </w:r>
          </w:p>
        </w:tc>
        <w:tc>
          <w:tcPr>
            <w:tcW w:w="781"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50"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49"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33"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82" w:type="dxa"/>
            <w:tcBorders>
              <w:top w:val="single" w:sz="12" w:space="0" w:color="D4D4D4"/>
              <w:left w:val="single" w:sz="12" w:space="0" w:color="D4D4D4"/>
              <w:bottom w:val="single" w:sz="12" w:space="0" w:color="D4D4D4"/>
              <w:right w:val="single" w:sz="8" w:space="0" w:color="D4D4D4"/>
            </w:tcBorders>
          </w:tcPr>
          <w:p>
            <w:pPr>
              <w:pStyle w:val="TableParagraph"/>
              <w:rPr>
                <w:rFonts w:ascii="Times New Roman"/>
                <w:sz w:val="18"/>
              </w:rPr>
            </w:pPr>
          </w:p>
        </w:tc>
        <w:tc>
          <w:tcPr>
            <w:tcW w:w="1081" w:type="dxa"/>
            <w:tcBorders>
              <w:top w:val="single" w:sz="12" w:space="0" w:color="D4D4D4"/>
              <w:left w:val="single" w:sz="8" w:space="0" w:color="D4D4D4"/>
              <w:bottom w:val="single" w:sz="12" w:space="0" w:color="D4D4D4"/>
              <w:right w:val="single" w:sz="18" w:space="0" w:color="000000"/>
            </w:tcBorders>
          </w:tcPr>
          <w:p>
            <w:pPr>
              <w:pStyle w:val="TableParagraph"/>
              <w:rPr>
                <w:rFonts w:ascii="Times New Roman"/>
                <w:sz w:val="18"/>
              </w:rPr>
            </w:pPr>
          </w:p>
        </w:tc>
      </w:tr>
      <w:tr>
        <w:trPr>
          <w:trHeight w:val="81" w:hRule="atLeast"/>
        </w:trPr>
        <w:tc>
          <w:tcPr>
            <w:tcW w:w="3970" w:type="dxa"/>
            <w:tcBorders>
              <w:top w:val="single" w:sz="12" w:space="0" w:color="D4D4D4"/>
              <w:bottom w:val="single" w:sz="12" w:space="0" w:color="D4D4D4"/>
              <w:right w:val="single" w:sz="12" w:space="0" w:color="D4D4D4"/>
            </w:tcBorders>
          </w:tcPr>
          <w:p>
            <w:pPr>
              <w:pStyle w:val="TableParagraph"/>
              <w:rPr>
                <w:rFonts w:ascii="Times New Roman"/>
                <w:sz w:val="2"/>
              </w:rPr>
            </w:pPr>
          </w:p>
        </w:tc>
        <w:tc>
          <w:tcPr>
            <w:tcW w:w="781"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2"/>
              </w:rPr>
            </w:pPr>
          </w:p>
        </w:tc>
        <w:tc>
          <w:tcPr>
            <w:tcW w:w="850"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2"/>
              </w:rPr>
            </w:pPr>
          </w:p>
        </w:tc>
        <w:tc>
          <w:tcPr>
            <w:tcW w:w="849"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2"/>
              </w:rPr>
            </w:pPr>
          </w:p>
        </w:tc>
        <w:tc>
          <w:tcPr>
            <w:tcW w:w="833"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2"/>
              </w:rPr>
            </w:pPr>
          </w:p>
        </w:tc>
        <w:tc>
          <w:tcPr>
            <w:tcW w:w="882" w:type="dxa"/>
            <w:tcBorders>
              <w:top w:val="single" w:sz="12" w:space="0" w:color="D4D4D4"/>
              <w:left w:val="single" w:sz="12" w:space="0" w:color="D4D4D4"/>
              <w:bottom w:val="single" w:sz="12" w:space="0" w:color="D4D4D4"/>
              <w:right w:val="single" w:sz="8" w:space="0" w:color="D4D4D4"/>
            </w:tcBorders>
          </w:tcPr>
          <w:p>
            <w:pPr>
              <w:pStyle w:val="TableParagraph"/>
              <w:rPr>
                <w:rFonts w:ascii="Times New Roman"/>
                <w:sz w:val="2"/>
              </w:rPr>
            </w:pPr>
          </w:p>
        </w:tc>
        <w:tc>
          <w:tcPr>
            <w:tcW w:w="1081" w:type="dxa"/>
            <w:tcBorders>
              <w:top w:val="single" w:sz="12" w:space="0" w:color="D4D4D4"/>
              <w:left w:val="single" w:sz="8" w:space="0" w:color="D4D4D4"/>
              <w:bottom w:val="single" w:sz="12" w:space="0" w:color="D4D4D4"/>
              <w:right w:val="single" w:sz="18" w:space="0" w:color="000000"/>
            </w:tcBorders>
          </w:tcPr>
          <w:p>
            <w:pPr>
              <w:pStyle w:val="TableParagraph"/>
              <w:rPr>
                <w:rFonts w:ascii="Times New Roman"/>
                <w:sz w:val="2"/>
              </w:rPr>
            </w:pPr>
          </w:p>
        </w:tc>
      </w:tr>
      <w:tr>
        <w:trPr>
          <w:trHeight w:val="248" w:hRule="atLeast"/>
        </w:trPr>
        <w:tc>
          <w:tcPr>
            <w:tcW w:w="3970" w:type="dxa"/>
            <w:tcBorders>
              <w:top w:val="single" w:sz="12" w:space="0" w:color="D4D4D4"/>
              <w:bottom w:val="single" w:sz="12" w:space="0" w:color="D4D4D4"/>
              <w:right w:val="single" w:sz="12" w:space="0" w:color="D4D4D4"/>
            </w:tcBorders>
          </w:tcPr>
          <w:p>
            <w:pPr>
              <w:pStyle w:val="TableParagraph"/>
              <w:spacing w:line="209" w:lineRule="exact" w:before="19"/>
              <w:ind w:left="42"/>
              <w:rPr>
                <w:rFonts w:ascii="Calibri"/>
                <w:b/>
                <w:sz w:val="20"/>
              </w:rPr>
            </w:pPr>
            <w:r>
              <w:rPr>
                <w:rFonts w:ascii="Calibri"/>
                <w:b/>
                <w:sz w:val="20"/>
              </w:rPr>
              <w:t>Medical Provider Network</w:t>
            </w:r>
          </w:p>
        </w:tc>
        <w:tc>
          <w:tcPr>
            <w:tcW w:w="781"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50"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49"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33"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82" w:type="dxa"/>
            <w:tcBorders>
              <w:top w:val="single" w:sz="12" w:space="0" w:color="D4D4D4"/>
              <w:left w:val="single" w:sz="12" w:space="0" w:color="D4D4D4"/>
              <w:bottom w:val="single" w:sz="12" w:space="0" w:color="D4D4D4"/>
              <w:right w:val="single" w:sz="8" w:space="0" w:color="D4D4D4"/>
            </w:tcBorders>
          </w:tcPr>
          <w:p>
            <w:pPr>
              <w:pStyle w:val="TableParagraph"/>
              <w:rPr>
                <w:rFonts w:ascii="Times New Roman"/>
                <w:sz w:val="18"/>
              </w:rPr>
            </w:pPr>
          </w:p>
        </w:tc>
        <w:tc>
          <w:tcPr>
            <w:tcW w:w="1081" w:type="dxa"/>
            <w:tcBorders>
              <w:top w:val="single" w:sz="12" w:space="0" w:color="D4D4D4"/>
              <w:left w:val="single" w:sz="8" w:space="0" w:color="D4D4D4"/>
              <w:bottom w:val="single" w:sz="12" w:space="0" w:color="D4D4D4"/>
              <w:right w:val="single" w:sz="18" w:space="0" w:color="000000"/>
            </w:tcBorders>
          </w:tcPr>
          <w:p>
            <w:pPr>
              <w:pStyle w:val="TableParagraph"/>
              <w:rPr>
                <w:rFonts w:ascii="Times New Roman"/>
                <w:sz w:val="18"/>
              </w:rPr>
            </w:pPr>
          </w:p>
        </w:tc>
      </w:tr>
      <w:tr>
        <w:trPr>
          <w:trHeight w:val="175" w:hRule="atLeast"/>
        </w:trPr>
        <w:tc>
          <w:tcPr>
            <w:tcW w:w="3970" w:type="dxa"/>
            <w:tcBorders>
              <w:top w:val="single" w:sz="12" w:space="0" w:color="D4D4D4"/>
              <w:bottom w:val="single" w:sz="12" w:space="0" w:color="D4D4D4"/>
              <w:right w:val="single" w:sz="12" w:space="0" w:color="D4D4D4"/>
            </w:tcBorders>
          </w:tcPr>
          <w:p>
            <w:pPr>
              <w:pStyle w:val="TableParagraph"/>
              <w:rPr>
                <w:rFonts w:ascii="Times New Roman"/>
                <w:sz w:val="10"/>
              </w:rPr>
            </w:pPr>
          </w:p>
        </w:tc>
        <w:tc>
          <w:tcPr>
            <w:tcW w:w="781"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0"/>
              </w:rPr>
            </w:pPr>
          </w:p>
        </w:tc>
        <w:tc>
          <w:tcPr>
            <w:tcW w:w="850"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0"/>
              </w:rPr>
            </w:pPr>
          </w:p>
        </w:tc>
        <w:tc>
          <w:tcPr>
            <w:tcW w:w="849"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0"/>
              </w:rPr>
            </w:pPr>
          </w:p>
        </w:tc>
        <w:tc>
          <w:tcPr>
            <w:tcW w:w="833"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0"/>
              </w:rPr>
            </w:pPr>
          </w:p>
        </w:tc>
        <w:tc>
          <w:tcPr>
            <w:tcW w:w="882" w:type="dxa"/>
            <w:tcBorders>
              <w:top w:val="single" w:sz="12" w:space="0" w:color="D4D4D4"/>
              <w:left w:val="single" w:sz="12" w:space="0" w:color="D4D4D4"/>
              <w:bottom w:val="single" w:sz="12" w:space="0" w:color="D4D4D4"/>
              <w:right w:val="single" w:sz="8" w:space="0" w:color="D4D4D4"/>
            </w:tcBorders>
          </w:tcPr>
          <w:p>
            <w:pPr>
              <w:pStyle w:val="TableParagraph"/>
              <w:rPr>
                <w:rFonts w:ascii="Times New Roman"/>
                <w:sz w:val="10"/>
              </w:rPr>
            </w:pPr>
          </w:p>
        </w:tc>
        <w:tc>
          <w:tcPr>
            <w:tcW w:w="1081" w:type="dxa"/>
            <w:tcBorders>
              <w:top w:val="single" w:sz="12" w:space="0" w:color="D4D4D4"/>
              <w:left w:val="single" w:sz="8" w:space="0" w:color="D4D4D4"/>
              <w:bottom w:val="single" w:sz="12" w:space="0" w:color="D4D4D4"/>
              <w:right w:val="single" w:sz="18" w:space="0" w:color="000000"/>
            </w:tcBorders>
          </w:tcPr>
          <w:p>
            <w:pPr>
              <w:pStyle w:val="TableParagraph"/>
              <w:rPr>
                <w:rFonts w:ascii="Times New Roman"/>
                <w:sz w:val="10"/>
              </w:rPr>
            </w:pPr>
          </w:p>
        </w:tc>
      </w:tr>
      <w:tr>
        <w:trPr>
          <w:trHeight w:val="248" w:hRule="atLeast"/>
        </w:trPr>
        <w:tc>
          <w:tcPr>
            <w:tcW w:w="3970" w:type="dxa"/>
            <w:tcBorders>
              <w:top w:val="single" w:sz="12" w:space="0" w:color="D4D4D4"/>
              <w:bottom w:val="single" w:sz="12" w:space="0" w:color="D4D4D4"/>
              <w:right w:val="single" w:sz="12" w:space="0" w:color="D4D4D4"/>
            </w:tcBorders>
          </w:tcPr>
          <w:p>
            <w:pPr>
              <w:pStyle w:val="TableParagraph"/>
              <w:spacing w:line="211" w:lineRule="exact" w:before="17"/>
              <w:ind w:left="42"/>
              <w:rPr>
                <w:rFonts w:ascii="Calibri"/>
                <w:sz w:val="20"/>
              </w:rPr>
            </w:pPr>
            <w:r>
              <w:rPr>
                <w:rFonts w:ascii="Calibri"/>
                <w:sz w:val="20"/>
              </w:rPr>
              <w:t>Annual Maintence Fee</w:t>
            </w:r>
          </w:p>
        </w:tc>
        <w:tc>
          <w:tcPr>
            <w:tcW w:w="781"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50"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49"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33"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82" w:type="dxa"/>
            <w:tcBorders>
              <w:top w:val="single" w:sz="12" w:space="0" w:color="D4D4D4"/>
              <w:left w:val="single" w:sz="12" w:space="0" w:color="D4D4D4"/>
              <w:bottom w:val="single" w:sz="12" w:space="0" w:color="D4D4D4"/>
              <w:right w:val="single" w:sz="8" w:space="0" w:color="D4D4D4"/>
            </w:tcBorders>
          </w:tcPr>
          <w:p>
            <w:pPr>
              <w:pStyle w:val="TableParagraph"/>
              <w:rPr>
                <w:rFonts w:ascii="Times New Roman"/>
                <w:sz w:val="18"/>
              </w:rPr>
            </w:pPr>
          </w:p>
        </w:tc>
        <w:tc>
          <w:tcPr>
            <w:tcW w:w="1081" w:type="dxa"/>
            <w:tcBorders>
              <w:top w:val="single" w:sz="12" w:space="0" w:color="D4D4D4"/>
              <w:left w:val="single" w:sz="8" w:space="0" w:color="D4D4D4"/>
              <w:bottom w:val="single" w:sz="12" w:space="0" w:color="D4D4D4"/>
              <w:right w:val="single" w:sz="18" w:space="0" w:color="000000"/>
            </w:tcBorders>
          </w:tcPr>
          <w:p>
            <w:pPr>
              <w:pStyle w:val="TableParagraph"/>
              <w:rPr>
                <w:rFonts w:ascii="Times New Roman"/>
                <w:sz w:val="18"/>
              </w:rPr>
            </w:pPr>
          </w:p>
        </w:tc>
      </w:tr>
      <w:tr>
        <w:trPr>
          <w:trHeight w:val="248" w:hRule="atLeast"/>
        </w:trPr>
        <w:tc>
          <w:tcPr>
            <w:tcW w:w="3970" w:type="dxa"/>
            <w:tcBorders>
              <w:top w:val="single" w:sz="12" w:space="0" w:color="D4D4D4"/>
              <w:bottom w:val="single" w:sz="12" w:space="0" w:color="D4D4D4"/>
              <w:right w:val="single" w:sz="12" w:space="0" w:color="D4D4D4"/>
            </w:tcBorders>
          </w:tcPr>
          <w:p>
            <w:pPr>
              <w:pStyle w:val="TableParagraph"/>
              <w:spacing w:line="209" w:lineRule="exact" w:before="19"/>
              <w:ind w:left="42"/>
              <w:rPr>
                <w:rFonts w:ascii="Calibri"/>
                <w:sz w:val="20"/>
              </w:rPr>
            </w:pPr>
            <w:r>
              <w:rPr>
                <w:rFonts w:ascii="Calibri"/>
                <w:sz w:val="20"/>
              </w:rPr>
              <w:t>Creation of MPN</w:t>
            </w:r>
          </w:p>
        </w:tc>
        <w:tc>
          <w:tcPr>
            <w:tcW w:w="781"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50"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49"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33"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82" w:type="dxa"/>
            <w:tcBorders>
              <w:top w:val="single" w:sz="12" w:space="0" w:color="D4D4D4"/>
              <w:left w:val="single" w:sz="12" w:space="0" w:color="D4D4D4"/>
              <w:bottom w:val="single" w:sz="12" w:space="0" w:color="D4D4D4"/>
              <w:right w:val="single" w:sz="8" w:space="0" w:color="D4D4D4"/>
            </w:tcBorders>
          </w:tcPr>
          <w:p>
            <w:pPr>
              <w:pStyle w:val="TableParagraph"/>
              <w:rPr>
                <w:rFonts w:ascii="Times New Roman"/>
                <w:sz w:val="18"/>
              </w:rPr>
            </w:pPr>
          </w:p>
        </w:tc>
        <w:tc>
          <w:tcPr>
            <w:tcW w:w="1081" w:type="dxa"/>
            <w:tcBorders>
              <w:top w:val="single" w:sz="12" w:space="0" w:color="D4D4D4"/>
              <w:left w:val="single" w:sz="8" w:space="0" w:color="D4D4D4"/>
              <w:bottom w:val="single" w:sz="12" w:space="0" w:color="D4D4D4"/>
              <w:right w:val="single" w:sz="18" w:space="0" w:color="000000"/>
            </w:tcBorders>
          </w:tcPr>
          <w:p>
            <w:pPr>
              <w:pStyle w:val="TableParagraph"/>
              <w:rPr>
                <w:rFonts w:ascii="Times New Roman"/>
                <w:sz w:val="18"/>
              </w:rPr>
            </w:pPr>
          </w:p>
        </w:tc>
      </w:tr>
      <w:tr>
        <w:trPr>
          <w:trHeight w:val="248" w:hRule="atLeast"/>
        </w:trPr>
        <w:tc>
          <w:tcPr>
            <w:tcW w:w="3970" w:type="dxa"/>
            <w:tcBorders>
              <w:top w:val="single" w:sz="12" w:space="0" w:color="D4D4D4"/>
              <w:bottom w:val="single" w:sz="12" w:space="0" w:color="D4D4D4"/>
              <w:right w:val="single" w:sz="12" w:space="0" w:color="D4D4D4"/>
            </w:tcBorders>
          </w:tcPr>
          <w:p>
            <w:pPr>
              <w:pStyle w:val="TableParagraph"/>
              <w:spacing w:line="209" w:lineRule="exact" w:before="19"/>
              <w:ind w:left="42"/>
              <w:rPr>
                <w:rFonts w:ascii="Calibri"/>
                <w:sz w:val="20"/>
              </w:rPr>
            </w:pPr>
            <w:r>
              <w:rPr>
                <w:rFonts w:ascii="Calibri"/>
                <w:sz w:val="20"/>
              </w:rPr>
              <w:t>MPN Update Fees</w:t>
            </w:r>
          </w:p>
        </w:tc>
        <w:tc>
          <w:tcPr>
            <w:tcW w:w="781"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50"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49"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33"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82" w:type="dxa"/>
            <w:tcBorders>
              <w:top w:val="single" w:sz="12" w:space="0" w:color="D4D4D4"/>
              <w:left w:val="single" w:sz="12" w:space="0" w:color="D4D4D4"/>
              <w:bottom w:val="single" w:sz="12" w:space="0" w:color="D4D4D4"/>
              <w:right w:val="single" w:sz="8" w:space="0" w:color="D4D4D4"/>
            </w:tcBorders>
          </w:tcPr>
          <w:p>
            <w:pPr>
              <w:pStyle w:val="TableParagraph"/>
              <w:rPr>
                <w:rFonts w:ascii="Times New Roman"/>
                <w:sz w:val="18"/>
              </w:rPr>
            </w:pPr>
          </w:p>
        </w:tc>
        <w:tc>
          <w:tcPr>
            <w:tcW w:w="1081" w:type="dxa"/>
            <w:tcBorders>
              <w:top w:val="single" w:sz="12" w:space="0" w:color="D4D4D4"/>
              <w:left w:val="single" w:sz="8" w:space="0" w:color="D4D4D4"/>
              <w:bottom w:val="single" w:sz="12" w:space="0" w:color="D4D4D4"/>
              <w:right w:val="single" w:sz="18" w:space="0" w:color="000000"/>
            </w:tcBorders>
          </w:tcPr>
          <w:p>
            <w:pPr>
              <w:pStyle w:val="TableParagraph"/>
              <w:rPr>
                <w:rFonts w:ascii="Times New Roman"/>
                <w:sz w:val="18"/>
              </w:rPr>
            </w:pPr>
          </w:p>
        </w:tc>
      </w:tr>
      <w:tr>
        <w:trPr>
          <w:trHeight w:val="249" w:hRule="atLeast"/>
        </w:trPr>
        <w:tc>
          <w:tcPr>
            <w:tcW w:w="3970" w:type="dxa"/>
            <w:tcBorders>
              <w:top w:val="single" w:sz="12" w:space="0" w:color="D4D4D4"/>
              <w:bottom w:val="single" w:sz="12" w:space="0" w:color="D4D4D4"/>
              <w:right w:val="single" w:sz="12" w:space="0" w:color="D4D4D4"/>
            </w:tcBorders>
          </w:tcPr>
          <w:p>
            <w:pPr>
              <w:pStyle w:val="TableParagraph"/>
              <w:spacing w:line="211" w:lineRule="exact" w:before="19"/>
              <w:ind w:left="42"/>
              <w:rPr>
                <w:rFonts w:ascii="Calibri"/>
                <w:sz w:val="20"/>
              </w:rPr>
            </w:pPr>
            <w:r>
              <w:rPr>
                <w:rFonts w:ascii="Calibri"/>
                <w:sz w:val="20"/>
              </w:rPr>
              <w:t>Other ( please specify)</w:t>
            </w:r>
          </w:p>
        </w:tc>
        <w:tc>
          <w:tcPr>
            <w:tcW w:w="781"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50"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49"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33"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82" w:type="dxa"/>
            <w:tcBorders>
              <w:top w:val="single" w:sz="12" w:space="0" w:color="D4D4D4"/>
              <w:left w:val="single" w:sz="12" w:space="0" w:color="D4D4D4"/>
              <w:bottom w:val="single" w:sz="12" w:space="0" w:color="D4D4D4"/>
              <w:right w:val="single" w:sz="8" w:space="0" w:color="D4D4D4"/>
            </w:tcBorders>
          </w:tcPr>
          <w:p>
            <w:pPr>
              <w:pStyle w:val="TableParagraph"/>
              <w:rPr>
                <w:rFonts w:ascii="Times New Roman"/>
                <w:sz w:val="18"/>
              </w:rPr>
            </w:pPr>
          </w:p>
        </w:tc>
        <w:tc>
          <w:tcPr>
            <w:tcW w:w="1081" w:type="dxa"/>
            <w:tcBorders>
              <w:top w:val="single" w:sz="12" w:space="0" w:color="D4D4D4"/>
              <w:left w:val="single" w:sz="8" w:space="0" w:color="D4D4D4"/>
              <w:bottom w:val="single" w:sz="12" w:space="0" w:color="D4D4D4"/>
              <w:right w:val="single" w:sz="18" w:space="0" w:color="000000"/>
            </w:tcBorders>
          </w:tcPr>
          <w:p>
            <w:pPr>
              <w:pStyle w:val="TableParagraph"/>
              <w:rPr>
                <w:rFonts w:ascii="Times New Roman"/>
                <w:sz w:val="18"/>
              </w:rPr>
            </w:pPr>
          </w:p>
        </w:tc>
      </w:tr>
      <w:tr>
        <w:trPr>
          <w:trHeight w:val="248" w:hRule="atLeast"/>
        </w:trPr>
        <w:tc>
          <w:tcPr>
            <w:tcW w:w="3970" w:type="dxa"/>
            <w:tcBorders>
              <w:top w:val="single" w:sz="12" w:space="0" w:color="D4D4D4"/>
              <w:bottom w:val="single" w:sz="12" w:space="0" w:color="D4D4D4"/>
              <w:right w:val="single" w:sz="12" w:space="0" w:color="D4D4D4"/>
            </w:tcBorders>
          </w:tcPr>
          <w:p>
            <w:pPr>
              <w:pStyle w:val="TableParagraph"/>
              <w:rPr>
                <w:rFonts w:ascii="Times New Roman"/>
                <w:sz w:val="18"/>
              </w:rPr>
            </w:pPr>
          </w:p>
        </w:tc>
        <w:tc>
          <w:tcPr>
            <w:tcW w:w="781"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50"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49"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33" w:type="dxa"/>
            <w:tcBorders>
              <w:top w:val="single" w:sz="12" w:space="0" w:color="D4D4D4"/>
              <w:left w:val="single" w:sz="12" w:space="0" w:color="D4D4D4"/>
              <w:bottom w:val="single" w:sz="12" w:space="0" w:color="D4D4D4"/>
              <w:right w:val="single" w:sz="12" w:space="0" w:color="D4D4D4"/>
            </w:tcBorders>
          </w:tcPr>
          <w:p>
            <w:pPr>
              <w:pStyle w:val="TableParagraph"/>
              <w:rPr>
                <w:rFonts w:ascii="Times New Roman"/>
                <w:sz w:val="18"/>
              </w:rPr>
            </w:pPr>
          </w:p>
        </w:tc>
        <w:tc>
          <w:tcPr>
            <w:tcW w:w="882" w:type="dxa"/>
            <w:tcBorders>
              <w:top w:val="single" w:sz="12" w:space="0" w:color="D4D4D4"/>
              <w:left w:val="single" w:sz="12" w:space="0" w:color="D4D4D4"/>
              <w:bottom w:val="single" w:sz="12" w:space="0" w:color="D4D4D4"/>
              <w:right w:val="single" w:sz="8" w:space="0" w:color="D4D4D4"/>
            </w:tcBorders>
          </w:tcPr>
          <w:p>
            <w:pPr>
              <w:pStyle w:val="TableParagraph"/>
              <w:rPr>
                <w:rFonts w:ascii="Times New Roman"/>
                <w:sz w:val="18"/>
              </w:rPr>
            </w:pPr>
          </w:p>
        </w:tc>
        <w:tc>
          <w:tcPr>
            <w:tcW w:w="1081" w:type="dxa"/>
            <w:tcBorders>
              <w:top w:val="single" w:sz="12" w:space="0" w:color="D4D4D4"/>
              <w:left w:val="single" w:sz="8" w:space="0" w:color="D4D4D4"/>
              <w:bottom w:val="single" w:sz="12" w:space="0" w:color="D4D4D4"/>
              <w:right w:val="single" w:sz="18" w:space="0" w:color="000000"/>
            </w:tcBorders>
          </w:tcPr>
          <w:p>
            <w:pPr>
              <w:pStyle w:val="TableParagraph"/>
              <w:rPr>
                <w:rFonts w:ascii="Times New Roman"/>
                <w:sz w:val="18"/>
              </w:rPr>
            </w:pPr>
          </w:p>
        </w:tc>
      </w:tr>
      <w:tr>
        <w:trPr>
          <w:trHeight w:val="253" w:hRule="atLeast"/>
        </w:trPr>
        <w:tc>
          <w:tcPr>
            <w:tcW w:w="3970" w:type="dxa"/>
            <w:tcBorders>
              <w:top w:val="single" w:sz="12" w:space="0" w:color="D4D4D4"/>
              <w:bottom w:val="single" w:sz="18" w:space="0" w:color="000000"/>
              <w:right w:val="single" w:sz="12" w:space="0" w:color="D4D4D4"/>
            </w:tcBorders>
          </w:tcPr>
          <w:p>
            <w:pPr>
              <w:pStyle w:val="TableParagraph"/>
              <w:spacing w:line="214" w:lineRule="exact" w:before="19"/>
              <w:ind w:left="42"/>
              <w:rPr>
                <w:rFonts w:ascii="Calibri"/>
                <w:b/>
                <w:sz w:val="20"/>
              </w:rPr>
            </w:pPr>
            <w:r>
              <w:rPr>
                <w:rFonts w:ascii="Calibri"/>
                <w:b/>
                <w:sz w:val="20"/>
              </w:rPr>
              <w:t>Total TPA Fees / Per Year</w:t>
            </w:r>
          </w:p>
        </w:tc>
        <w:tc>
          <w:tcPr>
            <w:tcW w:w="781" w:type="dxa"/>
            <w:tcBorders>
              <w:top w:val="single" w:sz="12" w:space="0" w:color="D4D4D4"/>
              <w:left w:val="single" w:sz="12" w:space="0" w:color="D4D4D4"/>
              <w:bottom w:val="single" w:sz="18" w:space="0" w:color="000000"/>
              <w:right w:val="single" w:sz="12" w:space="0" w:color="D4D4D4"/>
            </w:tcBorders>
          </w:tcPr>
          <w:p>
            <w:pPr>
              <w:pStyle w:val="TableParagraph"/>
              <w:rPr>
                <w:rFonts w:ascii="Times New Roman"/>
                <w:sz w:val="18"/>
              </w:rPr>
            </w:pPr>
          </w:p>
        </w:tc>
        <w:tc>
          <w:tcPr>
            <w:tcW w:w="850" w:type="dxa"/>
            <w:tcBorders>
              <w:top w:val="single" w:sz="12" w:space="0" w:color="D4D4D4"/>
              <w:left w:val="single" w:sz="12" w:space="0" w:color="D4D4D4"/>
              <w:bottom w:val="single" w:sz="18" w:space="0" w:color="000000"/>
              <w:right w:val="single" w:sz="12" w:space="0" w:color="D4D4D4"/>
            </w:tcBorders>
          </w:tcPr>
          <w:p>
            <w:pPr>
              <w:pStyle w:val="TableParagraph"/>
              <w:rPr>
                <w:rFonts w:ascii="Times New Roman"/>
                <w:sz w:val="18"/>
              </w:rPr>
            </w:pPr>
          </w:p>
        </w:tc>
        <w:tc>
          <w:tcPr>
            <w:tcW w:w="849" w:type="dxa"/>
            <w:tcBorders>
              <w:top w:val="single" w:sz="12" w:space="0" w:color="D4D4D4"/>
              <w:left w:val="single" w:sz="12" w:space="0" w:color="D4D4D4"/>
              <w:bottom w:val="single" w:sz="18" w:space="0" w:color="000000"/>
              <w:right w:val="single" w:sz="12" w:space="0" w:color="D4D4D4"/>
            </w:tcBorders>
          </w:tcPr>
          <w:p>
            <w:pPr>
              <w:pStyle w:val="TableParagraph"/>
              <w:rPr>
                <w:rFonts w:ascii="Times New Roman"/>
                <w:sz w:val="18"/>
              </w:rPr>
            </w:pPr>
          </w:p>
        </w:tc>
        <w:tc>
          <w:tcPr>
            <w:tcW w:w="833" w:type="dxa"/>
            <w:tcBorders>
              <w:top w:val="single" w:sz="12" w:space="0" w:color="D4D4D4"/>
              <w:left w:val="single" w:sz="12" w:space="0" w:color="D4D4D4"/>
              <w:bottom w:val="single" w:sz="18" w:space="0" w:color="000000"/>
              <w:right w:val="single" w:sz="12" w:space="0" w:color="D4D4D4"/>
            </w:tcBorders>
          </w:tcPr>
          <w:p>
            <w:pPr>
              <w:pStyle w:val="TableParagraph"/>
              <w:rPr>
                <w:rFonts w:ascii="Times New Roman"/>
                <w:sz w:val="18"/>
              </w:rPr>
            </w:pPr>
          </w:p>
        </w:tc>
        <w:tc>
          <w:tcPr>
            <w:tcW w:w="882" w:type="dxa"/>
            <w:tcBorders>
              <w:top w:val="single" w:sz="12" w:space="0" w:color="D4D4D4"/>
              <w:left w:val="single" w:sz="12" w:space="0" w:color="D4D4D4"/>
              <w:bottom w:val="single" w:sz="18" w:space="0" w:color="000000"/>
              <w:right w:val="single" w:sz="8" w:space="0" w:color="D4D4D4"/>
            </w:tcBorders>
          </w:tcPr>
          <w:p>
            <w:pPr>
              <w:pStyle w:val="TableParagraph"/>
              <w:rPr>
                <w:rFonts w:ascii="Times New Roman"/>
                <w:sz w:val="18"/>
              </w:rPr>
            </w:pPr>
          </w:p>
        </w:tc>
        <w:tc>
          <w:tcPr>
            <w:tcW w:w="1081" w:type="dxa"/>
            <w:tcBorders>
              <w:top w:val="single" w:sz="12" w:space="0" w:color="D4D4D4"/>
              <w:left w:val="single" w:sz="8" w:space="0" w:color="D4D4D4"/>
              <w:bottom w:val="single" w:sz="18" w:space="0" w:color="000000"/>
              <w:right w:val="single" w:sz="18" w:space="0" w:color="000000"/>
            </w:tcBorders>
          </w:tcPr>
          <w:p>
            <w:pPr>
              <w:pStyle w:val="TableParagraph"/>
              <w:rPr>
                <w:rFonts w:ascii="Times New Roman"/>
                <w:sz w:val="18"/>
              </w:rPr>
            </w:pPr>
          </w:p>
        </w:tc>
      </w:tr>
    </w:tbl>
    <w:p>
      <w:pPr>
        <w:rPr>
          <w:sz w:val="2"/>
          <w:szCs w:val="2"/>
        </w:rPr>
      </w:pPr>
      <w:r>
        <w:rPr/>
        <w:pict>
          <v:group style="position:absolute;margin-left:26.160002pt;margin-top:26.160002pt;width:561.85pt;height:741.85pt;mso-position-horizontal-relative:page;mso-position-vertical-relative:page;z-index:-253962240" coordorigin="523,523" coordsize="11237,14837">
            <v:line style="position:absolute" from="523,545" to="11674,545" stroked="true" strokeweight="2.159998pt" strokecolor="#000000">
              <v:stroke dashstyle="solid"/>
            </v:line>
            <v:rect style="position:absolute;left:11673;top:523;width:44;height:44" filled="true" fillcolor="#000000" stroked="false">
              <v:fill type="solid"/>
            </v:rect>
            <v:line style="position:absolute" from="545,566" to="545,15317" stroked="true" strokeweight="2.159998pt" strokecolor="#000000">
              <v:stroke dashstyle="solid"/>
            </v:line>
            <v:line style="position:absolute" from="11717,566" to="11717,15274" stroked="true" strokeweight="4.320008pt" strokecolor="#000000">
              <v:stroke dashstyle="solid"/>
            </v:line>
            <v:line style="position:absolute" from="566,15317" to="11674,15317" stroked="true" strokeweight="4.320008pt" strokecolor="#000000">
              <v:stroke dashstyle="solid"/>
            </v:line>
            <v:shape style="position:absolute;left:11673;top:15273;width:87;height:87" coordorigin="11674,15274" coordsize="87,87" path="m11760,15274l11717,15274,11674,15274,11674,15317,11674,15360,11717,15360,11760,15360,11760,15317,11760,15274e" filled="true" fillcolor="#000000" stroked="false">
              <v:path arrowok="t"/>
              <v:fill type="solid"/>
            </v:shape>
            <w10:wrap type="none"/>
          </v:group>
        </w:pict>
      </w:r>
    </w:p>
    <w:p>
      <w:pPr>
        <w:spacing w:after="0"/>
        <w:rPr>
          <w:sz w:val="2"/>
          <w:szCs w:val="2"/>
        </w:rPr>
        <w:sectPr>
          <w:pgSz w:w="12240" w:h="15840"/>
          <w:pgMar w:header="0" w:footer="1168" w:top="800" w:bottom="1360" w:left="960" w:right="960"/>
        </w:sectPr>
      </w:pPr>
    </w:p>
    <w:p>
      <w:pPr>
        <w:pStyle w:val="Heading4"/>
        <w:numPr>
          <w:ilvl w:val="0"/>
          <w:numId w:val="5"/>
        </w:numPr>
        <w:tabs>
          <w:tab w:pos="841" w:val="left" w:leader="none"/>
        </w:tabs>
        <w:spacing w:line="240" w:lineRule="auto" w:before="71" w:after="0"/>
        <w:ind w:left="840" w:right="0" w:hanging="361"/>
        <w:jc w:val="left"/>
      </w:pPr>
      <w:r>
        <w:rPr/>
        <w:pict>
          <v:group style="position:absolute;margin-left:26.160002pt;margin-top:26.160002pt;width:561.85pt;height:741.85pt;mso-position-horizontal-relative:page;mso-position-vertical-relative:page;z-index:-253961216" coordorigin="523,523" coordsize="11237,14837">
            <v:line style="position:absolute" from="523,545" to="11674,545" stroked="true" strokeweight="2.159998pt" strokecolor="#000000">
              <v:stroke dashstyle="solid"/>
            </v:line>
            <v:rect style="position:absolute;left:11673;top:523;width:44;height:44" filled="true" fillcolor="#000000" stroked="false">
              <v:fill type="solid"/>
            </v:rect>
            <v:line style="position:absolute" from="545,566" to="545,15317" stroked="true" strokeweight="2.159998pt" strokecolor="#000000">
              <v:stroke dashstyle="solid"/>
            </v:line>
            <v:line style="position:absolute" from="11717,566" to="11717,15274" stroked="true" strokeweight="4.320008pt" strokecolor="#000000">
              <v:stroke dashstyle="solid"/>
            </v:line>
            <v:line style="position:absolute" from="566,15317" to="11674,15317" stroked="true" strokeweight="4.320008pt" strokecolor="#000000">
              <v:stroke dashstyle="solid"/>
            </v:line>
            <v:shape style="position:absolute;left:11673;top:15273;width:87;height:87" coordorigin="11674,15274" coordsize="87,87" path="m11760,15274l11717,15274,11674,15274,11674,15317,11674,15360,11717,15360,11760,15360,11760,15317,11760,15274e" filled="true" fillcolor="#000000" stroked="false">
              <v:path arrowok="t"/>
              <v:fill type="solid"/>
            </v:shape>
            <w10:wrap type="none"/>
          </v:group>
        </w:pict>
      </w:r>
      <w:r>
        <w:rPr/>
        <w:t>Bill Review Cost</w:t>
      </w:r>
      <w:r>
        <w:rPr>
          <w:spacing w:val="3"/>
        </w:rPr>
        <w:t> </w:t>
      </w:r>
      <w:r>
        <w:rPr/>
        <w:t>Proposal</w:t>
      </w:r>
    </w:p>
    <w:p>
      <w:pPr>
        <w:pStyle w:val="BodyText"/>
        <w:spacing w:before="9"/>
        <w:rPr>
          <w:b/>
          <w:sz w:val="21"/>
        </w:rPr>
      </w:pPr>
    </w:p>
    <w:p>
      <w:pPr>
        <w:pStyle w:val="BodyText"/>
        <w:ind w:left="480" w:right="480"/>
      </w:pPr>
      <w:r>
        <w:rPr/>
        <w:t>The City will assume your cost proposal will include the following bill review services at no additional charge to the City:</w:t>
      </w:r>
    </w:p>
    <w:p>
      <w:pPr>
        <w:pStyle w:val="BodyText"/>
        <w:spacing w:before="2"/>
      </w:pPr>
    </w:p>
    <w:p>
      <w:pPr>
        <w:pStyle w:val="ListParagraph"/>
        <w:numPr>
          <w:ilvl w:val="1"/>
          <w:numId w:val="5"/>
        </w:numPr>
        <w:tabs>
          <w:tab w:pos="1200" w:val="left" w:leader="none"/>
          <w:tab w:pos="1201" w:val="left" w:leader="none"/>
        </w:tabs>
        <w:spacing w:line="269" w:lineRule="exact" w:before="0" w:after="0"/>
        <w:ind w:left="1200" w:right="0" w:hanging="361"/>
        <w:jc w:val="left"/>
        <w:rPr>
          <w:sz w:val="22"/>
        </w:rPr>
      </w:pPr>
      <w:r>
        <w:rPr>
          <w:sz w:val="22"/>
        </w:rPr>
        <w:t>Integration of bill review services into TPA’s claims</w:t>
      </w:r>
      <w:r>
        <w:rPr>
          <w:spacing w:val="3"/>
          <w:sz w:val="22"/>
        </w:rPr>
        <w:t> </w:t>
      </w:r>
      <w:r>
        <w:rPr>
          <w:sz w:val="22"/>
        </w:rPr>
        <w:t>software</w:t>
      </w:r>
    </w:p>
    <w:p>
      <w:pPr>
        <w:pStyle w:val="ListParagraph"/>
        <w:numPr>
          <w:ilvl w:val="1"/>
          <w:numId w:val="5"/>
        </w:numPr>
        <w:tabs>
          <w:tab w:pos="1200" w:val="left" w:leader="none"/>
          <w:tab w:pos="1201" w:val="left" w:leader="none"/>
        </w:tabs>
        <w:spacing w:line="268" w:lineRule="exact" w:before="0" w:after="0"/>
        <w:ind w:left="1200" w:right="0" w:hanging="361"/>
        <w:jc w:val="left"/>
        <w:rPr>
          <w:sz w:val="22"/>
        </w:rPr>
      </w:pPr>
      <w:r>
        <w:rPr>
          <w:sz w:val="22"/>
        </w:rPr>
        <w:t>Standard monthly, quarterly, annual reports (to be agreed</w:t>
      </w:r>
      <w:r>
        <w:rPr>
          <w:spacing w:val="-6"/>
          <w:sz w:val="22"/>
        </w:rPr>
        <w:t> </w:t>
      </w:r>
      <w:r>
        <w:rPr>
          <w:sz w:val="22"/>
        </w:rPr>
        <w:t>upon)</w:t>
      </w:r>
    </w:p>
    <w:p>
      <w:pPr>
        <w:pStyle w:val="ListParagraph"/>
        <w:numPr>
          <w:ilvl w:val="1"/>
          <w:numId w:val="5"/>
        </w:numPr>
        <w:tabs>
          <w:tab w:pos="1200" w:val="left" w:leader="none"/>
          <w:tab w:pos="1201" w:val="left" w:leader="none"/>
        </w:tabs>
        <w:spacing w:line="268" w:lineRule="exact" w:before="0" w:after="0"/>
        <w:ind w:left="1200" w:right="0" w:hanging="361"/>
        <w:jc w:val="left"/>
        <w:rPr>
          <w:sz w:val="22"/>
        </w:rPr>
      </w:pPr>
      <w:r>
        <w:rPr>
          <w:sz w:val="22"/>
        </w:rPr>
        <w:t>Development of special account instructions and procedures</w:t>
      </w:r>
    </w:p>
    <w:p>
      <w:pPr>
        <w:pStyle w:val="ListParagraph"/>
        <w:numPr>
          <w:ilvl w:val="1"/>
          <w:numId w:val="5"/>
        </w:numPr>
        <w:tabs>
          <w:tab w:pos="1200" w:val="left" w:leader="none"/>
          <w:tab w:pos="1201" w:val="left" w:leader="none"/>
        </w:tabs>
        <w:spacing w:line="268" w:lineRule="exact" w:before="0" w:after="0"/>
        <w:ind w:left="1200" w:right="0" w:hanging="361"/>
        <w:jc w:val="left"/>
        <w:rPr>
          <w:sz w:val="22"/>
        </w:rPr>
      </w:pPr>
      <w:r>
        <w:rPr>
          <w:sz w:val="22"/>
        </w:rPr>
        <w:t>Customization of</w:t>
      </w:r>
      <w:r>
        <w:rPr>
          <w:spacing w:val="2"/>
          <w:sz w:val="22"/>
        </w:rPr>
        <w:t> </w:t>
      </w:r>
      <w:r>
        <w:rPr>
          <w:sz w:val="22"/>
        </w:rPr>
        <w:t>reports</w:t>
      </w:r>
    </w:p>
    <w:p>
      <w:pPr>
        <w:pStyle w:val="ListParagraph"/>
        <w:numPr>
          <w:ilvl w:val="1"/>
          <w:numId w:val="5"/>
        </w:numPr>
        <w:tabs>
          <w:tab w:pos="1200" w:val="left" w:leader="none"/>
          <w:tab w:pos="1201" w:val="left" w:leader="none"/>
        </w:tabs>
        <w:spacing w:line="268" w:lineRule="exact" w:before="0" w:after="0"/>
        <w:ind w:left="1200" w:right="0" w:hanging="361"/>
        <w:jc w:val="left"/>
        <w:rPr>
          <w:sz w:val="22"/>
        </w:rPr>
      </w:pPr>
      <w:r>
        <w:rPr>
          <w:sz w:val="22"/>
        </w:rPr>
        <w:t>Attendance at hearings (City approval to</w:t>
      </w:r>
      <w:r>
        <w:rPr>
          <w:spacing w:val="-1"/>
          <w:sz w:val="22"/>
        </w:rPr>
        <w:t> </w:t>
      </w:r>
      <w:r>
        <w:rPr>
          <w:sz w:val="22"/>
        </w:rPr>
        <w:t>attend)</w:t>
      </w:r>
    </w:p>
    <w:p>
      <w:pPr>
        <w:pStyle w:val="ListParagraph"/>
        <w:numPr>
          <w:ilvl w:val="1"/>
          <w:numId w:val="5"/>
        </w:numPr>
        <w:tabs>
          <w:tab w:pos="1200" w:val="left" w:leader="none"/>
          <w:tab w:pos="1201" w:val="left" w:leader="none"/>
        </w:tabs>
        <w:spacing w:line="269" w:lineRule="exact" w:before="0" w:after="0"/>
        <w:ind w:left="1200" w:right="0" w:hanging="361"/>
        <w:jc w:val="left"/>
        <w:rPr>
          <w:sz w:val="22"/>
        </w:rPr>
      </w:pPr>
      <w:r>
        <w:rPr>
          <w:sz w:val="22"/>
        </w:rPr>
        <w:t>Check</w:t>
      </w:r>
      <w:r>
        <w:rPr>
          <w:spacing w:val="-1"/>
          <w:sz w:val="22"/>
        </w:rPr>
        <w:t> </w:t>
      </w:r>
      <w:r>
        <w:rPr>
          <w:sz w:val="22"/>
        </w:rPr>
        <w:t>printing</w:t>
      </w:r>
    </w:p>
    <w:p>
      <w:pPr>
        <w:pStyle w:val="ListParagraph"/>
        <w:numPr>
          <w:ilvl w:val="1"/>
          <w:numId w:val="5"/>
        </w:numPr>
        <w:tabs>
          <w:tab w:pos="1200" w:val="left" w:leader="none"/>
          <w:tab w:pos="1201" w:val="left" w:leader="none"/>
        </w:tabs>
        <w:spacing w:line="268" w:lineRule="exact" w:before="0" w:after="0"/>
        <w:ind w:left="1200" w:right="0" w:hanging="361"/>
        <w:jc w:val="left"/>
        <w:rPr>
          <w:sz w:val="22"/>
        </w:rPr>
      </w:pPr>
      <w:r>
        <w:rPr>
          <w:sz w:val="22"/>
        </w:rPr>
        <w:t>Banking</w:t>
      </w:r>
      <w:r>
        <w:rPr>
          <w:spacing w:val="-1"/>
          <w:sz w:val="22"/>
        </w:rPr>
        <w:t> </w:t>
      </w:r>
      <w:r>
        <w:rPr>
          <w:sz w:val="22"/>
        </w:rPr>
        <w:t>fees</w:t>
      </w:r>
    </w:p>
    <w:p>
      <w:pPr>
        <w:pStyle w:val="ListParagraph"/>
        <w:numPr>
          <w:ilvl w:val="1"/>
          <w:numId w:val="5"/>
        </w:numPr>
        <w:tabs>
          <w:tab w:pos="1200" w:val="left" w:leader="none"/>
          <w:tab w:pos="1201" w:val="left" w:leader="none"/>
        </w:tabs>
        <w:spacing w:line="268" w:lineRule="exact" w:before="0" w:after="0"/>
        <w:ind w:left="1200" w:right="0" w:hanging="361"/>
        <w:jc w:val="left"/>
        <w:rPr>
          <w:sz w:val="22"/>
        </w:rPr>
      </w:pPr>
      <w:r>
        <w:rPr>
          <w:sz w:val="22"/>
        </w:rPr>
        <w:t>Electronic filing</w:t>
      </w:r>
      <w:r>
        <w:rPr>
          <w:spacing w:val="-3"/>
          <w:sz w:val="22"/>
        </w:rPr>
        <w:t> </w:t>
      </w:r>
      <w:r>
        <w:rPr>
          <w:sz w:val="22"/>
        </w:rPr>
        <w:t>fees</w:t>
      </w:r>
    </w:p>
    <w:p>
      <w:pPr>
        <w:pStyle w:val="BodyText"/>
        <w:rPr>
          <w:sz w:val="20"/>
        </w:rPr>
      </w:pPr>
    </w:p>
    <w:p>
      <w:pPr>
        <w:pStyle w:val="BodyText"/>
        <w:spacing w:before="9"/>
        <w:rPr>
          <w:sz w:val="23"/>
        </w:rPr>
      </w:pPr>
    </w:p>
    <w:tbl>
      <w:tblPr>
        <w:tblW w:w="0" w:type="auto"/>
        <w:jc w:val="left"/>
        <w:tblInd w:w="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38"/>
        <w:gridCol w:w="936"/>
        <w:gridCol w:w="936"/>
        <w:gridCol w:w="935"/>
        <w:gridCol w:w="936"/>
        <w:gridCol w:w="935"/>
        <w:gridCol w:w="917"/>
      </w:tblGrid>
      <w:tr>
        <w:trPr>
          <w:trHeight w:val="246" w:hRule="atLeast"/>
        </w:trPr>
        <w:tc>
          <w:tcPr>
            <w:tcW w:w="3738" w:type="dxa"/>
            <w:tcBorders>
              <w:bottom w:val="single" w:sz="12" w:space="0" w:color="000000"/>
              <w:right w:val="single" w:sz="12" w:space="0" w:color="000000"/>
            </w:tcBorders>
          </w:tcPr>
          <w:p>
            <w:pPr>
              <w:pStyle w:val="TableParagraph"/>
              <w:spacing w:line="157" w:lineRule="exact" w:before="69"/>
              <w:ind w:left="1161"/>
              <w:rPr>
                <w:rFonts w:ascii="Calibri"/>
                <w:b/>
                <w:sz w:val="14"/>
              </w:rPr>
            </w:pPr>
            <w:r>
              <w:rPr>
                <w:rFonts w:ascii="Calibri"/>
                <w:b/>
                <w:w w:val="115"/>
                <w:sz w:val="14"/>
              </w:rPr>
              <w:t>Bill Review (Example)</w:t>
            </w:r>
          </w:p>
        </w:tc>
        <w:tc>
          <w:tcPr>
            <w:tcW w:w="4678" w:type="dxa"/>
            <w:gridSpan w:val="5"/>
            <w:tcBorders>
              <w:left w:val="single" w:sz="12" w:space="0" w:color="000000"/>
              <w:bottom w:val="single" w:sz="12" w:space="0" w:color="000000"/>
              <w:right w:val="single" w:sz="12" w:space="0" w:color="000000"/>
            </w:tcBorders>
          </w:tcPr>
          <w:p>
            <w:pPr>
              <w:pStyle w:val="TableParagraph"/>
              <w:spacing w:before="55"/>
              <w:ind w:left="2079" w:right="2076"/>
              <w:jc w:val="center"/>
              <w:rPr>
                <w:rFonts w:ascii="Calibri"/>
                <w:b/>
                <w:sz w:val="14"/>
              </w:rPr>
            </w:pPr>
            <w:r>
              <w:rPr>
                <w:rFonts w:ascii="Calibri"/>
                <w:b/>
                <w:w w:val="115"/>
                <w:sz w:val="14"/>
              </w:rPr>
              <w:t>Pricing</w:t>
            </w:r>
          </w:p>
        </w:tc>
        <w:tc>
          <w:tcPr>
            <w:tcW w:w="917" w:type="dxa"/>
            <w:vMerge w:val="restart"/>
            <w:tcBorders>
              <w:left w:val="single" w:sz="12" w:space="0" w:color="000000"/>
              <w:bottom w:val="single" w:sz="12" w:space="0" w:color="000000"/>
              <w:right w:val="single" w:sz="12" w:space="0" w:color="000000"/>
            </w:tcBorders>
          </w:tcPr>
          <w:p>
            <w:pPr>
              <w:pStyle w:val="TableParagraph"/>
              <w:spacing w:before="2"/>
              <w:ind w:left="144"/>
              <w:rPr>
                <w:rFonts w:ascii="Calibri"/>
                <w:b/>
                <w:sz w:val="14"/>
              </w:rPr>
            </w:pPr>
            <w:r>
              <w:rPr>
                <w:rFonts w:ascii="Calibri"/>
                <w:b/>
                <w:spacing w:val="2"/>
                <w:w w:val="115"/>
                <w:sz w:val="14"/>
              </w:rPr>
              <w:t>Included</w:t>
            </w:r>
          </w:p>
          <w:p>
            <w:pPr>
              <w:pStyle w:val="TableParagraph"/>
              <w:spacing w:line="190" w:lineRule="atLeast" w:before="9"/>
              <w:ind w:left="144"/>
              <w:rPr>
                <w:rFonts w:ascii="Calibri"/>
                <w:b/>
                <w:sz w:val="14"/>
              </w:rPr>
            </w:pPr>
            <w:r>
              <w:rPr>
                <w:rFonts w:ascii="Calibri"/>
                <w:b/>
                <w:spacing w:val="-3"/>
                <w:w w:val="115"/>
                <w:sz w:val="14"/>
              </w:rPr>
              <w:t>Total </w:t>
            </w:r>
            <w:r>
              <w:rPr>
                <w:rFonts w:ascii="Calibri"/>
                <w:b/>
                <w:w w:val="115"/>
                <w:sz w:val="14"/>
              </w:rPr>
              <w:t>Per Year</w:t>
            </w:r>
            <w:r>
              <w:rPr>
                <w:rFonts w:ascii="Calibri"/>
                <w:b/>
                <w:spacing w:val="-3"/>
                <w:w w:val="115"/>
                <w:sz w:val="14"/>
              </w:rPr>
              <w:t> Y/N</w:t>
            </w:r>
          </w:p>
        </w:tc>
      </w:tr>
      <w:tr>
        <w:trPr>
          <w:trHeight w:val="312" w:hRule="atLeast"/>
        </w:trPr>
        <w:tc>
          <w:tcPr>
            <w:tcW w:w="3738" w:type="dxa"/>
            <w:tcBorders>
              <w:top w:val="single" w:sz="12" w:space="0" w:color="000000"/>
              <w:bottom w:val="single" w:sz="12" w:space="0" w:color="000000"/>
              <w:right w:val="single" w:sz="12" w:space="0" w:color="000000"/>
            </w:tcBorders>
          </w:tcPr>
          <w:p>
            <w:pPr>
              <w:pStyle w:val="TableParagraph"/>
              <w:rPr>
                <w:rFonts w:ascii="Times New Roman"/>
                <w:sz w:val="20"/>
              </w:rPr>
            </w:pPr>
          </w:p>
        </w:tc>
        <w:tc>
          <w:tcPr>
            <w:tcW w:w="936" w:type="dxa"/>
            <w:tcBorders>
              <w:top w:val="single" w:sz="12" w:space="0" w:color="000000"/>
              <w:left w:val="single" w:sz="12" w:space="0" w:color="000000"/>
              <w:bottom w:val="single" w:sz="12" w:space="0" w:color="000000"/>
              <w:right w:val="single" w:sz="12" w:space="0" w:color="000000"/>
            </w:tcBorders>
          </w:tcPr>
          <w:p>
            <w:pPr>
              <w:pStyle w:val="TableParagraph"/>
              <w:spacing w:before="7"/>
              <w:rPr>
                <w:sz w:val="11"/>
              </w:rPr>
            </w:pPr>
          </w:p>
          <w:p>
            <w:pPr>
              <w:pStyle w:val="TableParagraph"/>
              <w:spacing w:line="158" w:lineRule="exact"/>
              <w:ind w:left="250"/>
              <w:rPr>
                <w:rFonts w:ascii="Calibri"/>
                <w:b/>
                <w:sz w:val="14"/>
              </w:rPr>
            </w:pPr>
            <w:r>
              <w:rPr>
                <w:rFonts w:ascii="Calibri"/>
                <w:b/>
                <w:w w:val="115"/>
                <w:sz w:val="14"/>
              </w:rPr>
              <w:t>Year 1</w:t>
            </w:r>
          </w:p>
        </w:tc>
        <w:tc>
          <w:tcPr>
            <w:tcW w:w="936" w:type="dxa"/>
            <w:tcBorders>
              <w:top w:val="single" w:sz="12" w:space="0" w:color="000000"/>
              <w:left w:val="single" w:sz="12" w:space="0" w:color="000000"/>
              <w:bottom w:val="single" w:sz="12" w:space="0" w:color="000000"/>
              <w:right w:val="single" w:sz="18" w:space="0" w:color="000000"/>
            </w:tcBorders>
          </w:tcPr>
          <w:p>
            <w:pPr>
              <w:pStyle w:val="TableParagraph"/>
              <w:spacing w:before="7"/>
              <w:rPr>
                <w:sz w:val="11"/>
              </w:rPr>
            </w:pPr>
          </w:p>
          <w:p>
            <w:pPr>
              <w:pStyle w:val="TableParagraph"/>
              <w:spacing w:line="158" w:lineRule="exact"/>
              <w:ind w:left="249"/>
              <w:rPr>
                <w:rFonts w:ascii="Calibri"/>
                <w:b/>
                <w:sz w:val="14"/>
              </w:rPr>
            </w:pPr>
            <w:r>
              <w:rPr>
                <w:rFonts w:ascii="Calibri"/>
                <w:b/>
                <w:w w:val="115"/>
                <w:sz w:val="14"/>
              </w:rPr>
              <w:t>Year 2</w:t>
            </w:r>
          </w:p>
        </w:tc>
        <w:tc>
          <w:tcPr>
            <w:tcW w:w="935" w:type="dxa"/>
            <w:tcBorders>
              <w:top w:val="single" w:sz="12" w:space="0" w:color="000000"/>
              <w:left w:val="single" w:sz="18" w:space="0" w:color="000000"/>
              <w:bottom w:val="single" w:sz="12" w:space="0" w:color="000000"/>
              <w:right w:val="single" w:sz="12" w:space="0" w:color="000000"/>
            </w:tcBorders>
          </w:tcPr>
          <w:p>
            <w:pPr>
              <w:pStyle w:val="TableParagraph"/>
              <w:spacing w:before="7"/>
              <w:rPr>
                <w:sz w:val="11"/>
              </w:rPr>
            </w:pPr>
          </w:p>
          <w:p>
            <w:pPr>
              <w:pStyle w:val="TableParagraph"/>
              <w:spacing w:line="158" w:lineRule="exact"/>
              <w:ind w:left="239"/>
              <w:rPr>
                <w:rFonts w:ascii="Calibri"/>
                <w:b/>
                <w:sz w:val="14"/>
              </w:rPr>
            </w:pPr>
            <w:r>
              <w:rPr>
                <w:rFonts w:ascii="Calibri"/>
                <w:b/>
                <w:w w:val="115"/>
                <w:sz w:val="14"/>
              </w:rPr>
              <w:t>Year 3</w:t>
            </w:r>
          </w:p>
        </w:tc>
        <w:tc>
          <w:tcPr>
            <w:tcW w:w="936" w:type="dxa"/>
            <w:tcBorders>
              <w:top w:val="single" w:sz="12" w:space="0" w:color="000000"/>
              <w:left w:val="single" w:sz="12" w:space="0" w:color="000000"/>
              <w:bottom w:val="single" w:sz="12" w:space="0" w:color="000000"/>
              <w:right w:val="single" w:sz="12" w:space="0" w:color="000000"/>
            </w:tcBorders>
          </w:tcPr>
          <w:p>
            <w:pPr>
              <w:pStyle w:val="TableParagraph"/>
              <w:spacing w:before="7"/>
              <w:rPr>
                <w:sz w:val="11"/>
              </w:rPr>
            </w:pPr>
          </w:p>
          <w:p>
            <w:pPr>
              <w:pStyle w:val="TableParagraph"/>
              <w:spacing w:line="158" w:lineRule="exact"/>
              <w:ind w:left="249"/>
              <w:rPr>
                <w:rFonts w:ascii="Calibri"/>
                <w:b/>
                <w:sz w:val="14"/>
              </w:rPr>
            </w:pPr>
            <w:r>
              <w:rPr>
                <w:rFonts w:ascii="Calibri"/>
                <w:b/>
                <w:w w:val="115"/>
                <w:sz w:val="14"/>
              </w:rPr>
              <w:t>Year 4</w:t>
            </w:r>
          </w:p>
        </w:tc>
        <w:tc>
          <w:tcPr>
            <w:tcW w:w="935" w:type="dxa"/>
            <w:tcBorders>
              <w:top w:val="single" w:sz="12" w:space="0" w:color="000000"/>
              <w:left w:val="single" w:sz="12" w:space="0" w:color="000000"/>
              <w:bottom w:val="single" w:sz="12" w:space="0" w:color="000000"/>
              <w:right w:val="single" w:sz="12" w:space="0" w:color="000000"/>
            </w:tcBorders>
          </w:tcPr>
          <w:p>
            <w:pPr>
              <w:pStyle w:val="TableParagraph"/>
              <w:spacing w:before="7"/>
              <w:rPr>
                <w:sz w:val="11"/>
              </w:rPr>
            </w:pPr>
          </w:p>
          <w:p>
            <w:pPr>
              <w:pStyle w:val="TableParagraph"/>
              <w:spacing w:line="158" w:lineRule="exact"/>
              <w:ind w:left="246"/>
              <w:rPr>
                <w:rFonts w:ascii="Calibri"/>
                <w:b/>
                <w:sz w:val="14"/>
              </w:rPr>
            </w:pPr>
            <w:r>
              <w:rPr>
                <w:rFonts w:ascii="Calibri"/>
                <w:b/>
                <w:w w:val="115"/>
                <w:sz w:val="14"/>
              </w:rPr>
              <w:t>Year 5</w:t>
            </w:r>
          </w:p>
        </w:tc>
        <w:tc>
          <w:tcPr>
            <w:tcW w:w="917" w:type="dxa"/>
            <w:vMerge/>
            <w:tcBorders>
              <w:top w:val="nil"/>
              <w:left w:val="single" w:sz="12" w:space="0" w:color="000000"/>
              <w:bottom w:val="single" w:sz="12" w:space="0" w:color="000000"/>
              <w:right w:val="single" w:sz="12" w:space="0" w:color="000000"/>
            </w:tcBorders>
          </w:tcPr>
          <w:p>
            <w:pPr>
              <w:rPr>
                <w:sz w:val="2"/>
                <w:szCs w:val="2"/>
              </w:rPr>
            </w:pPr>
          </w:p>
        </w:tc>
      </w:tr>
      <w:tr>
        <w:trPr>
          <w:trHeight w:val="242" w:hRule="atLeast"/>
        </w:trPr>
        <w:tc>
          <w:tcPr>
            <w:tcW w:w="3738" w:type="dxa"/>
            <w:tcBorders>
              <w:top w:val="single" w:sz="12" w:space="0" w:color="000000"/>
              <w:bottom w:val="single" w:sz="8" w:space="0" w:color="D4D4D4"/>
              <w:right w:val="single" w:sz="8" w:space="0" w:color="D4D4D4"/>
            </w:tcBorders>
          </w:tcPr>
          <w:p>
            <w:pPr>
              <w:pStyle w:val="TableParagraph"/>
              <w:spacing w:line="205" w:lineRule="exact" w:before="17"/>
              <w:ind w:left="35"/>
              <w:rPr>
                <w:rFonts w:ascii="Calibri"/>
                <w:b/>
                <w:sz w:val="19"/>
              </w:rPr>
            </w:pPr>
            <w:r>
              <w:rPr>
                <w:rFonts w:ascii="Calibri"/>
                <w:b/>
                <w:w w:val="115"/>
                <w:sz w:val="19"/>
              </w:rPr>
              <w:t>Medical Bill Review</w:t>
            </w:r>
          </w:p>
        </w:tc>
        <w:tc>
          <w:tcPr>
            <w:tcW w:w="936" w:type="dxa"/>
            <w:tcBorders>
              <w:top w:val="single" w:sz="12" w:space="0" w:color="000000"/>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12" w:space="0" w:color="000000"/>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12" w:space="0" w:color="000000"/>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12" w:space="0" w:color="000000"/>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12" w:space="0" w:color="000000"/>
              <w:left w:val="single" w:sz="8" w:space="0" w:color="D4D4D4"/>
              <w:bottom w:val="single" w:sz="8" w:space="0" w:color="D4D4D4"/>
              <w:right w:val="single" w:sz="8" w:space="0" w:color="D4D4D4"/>
            </w:tcBorders>
          </w:tcPr>
          <w:p>
            <w:pPr>
              <w:pStyle w:val="TableParagraph"/>
              <w:rPr>
                <w:rFonts w:ascii="Times New Roman"/>
                <w:sz w:val="16"/>
              </w:rPr>
            </w:pPr>
          </w:p>
        </w:tc>
        <w:tc>
          <w:tcPr>
            <w:tcW w:w="917" w:type="dxa"/>
            <w:tcBorders>
              <w:top w:val="single" w:sz="12" w:space="0" w:color="000000"/>
              <w:left w:val="single" w:sz="8" w:space="0" w:color="D4D4D4"/>
              <w:bottom w:val="single" w:sz="8" w:space="0" w:color="D4D4D4"/>
              <w:right w:val="single" w:sz="12" w:space="0" w:color="000000"/>
            </w:tcBorders>
          </w:tcPr>
          <w:p>
            <w:pPr>
              <w:pStyle w:val="TableParagraph"/>
              <w:rPr>
                <w:rFonts w:ascii="Times New Roman"/>
                <w:sz w:val="16"/>
              </w:rPr>
            </w:pPr>
          </w:p>
        </w:tc>
      </w:tr>
      <w:tr>
        <w:trPr>
          <w:trHeight w:val="242" w:hRule="atLeast"/>
        </w:trPr>
        <w:tc>
          <w:tcPr>
            <w:tcW w:w="3738" w:type="dxa"/>
            <w:tcBorders>
              <w:top w:val="single" w:sz="8" w:space="0" w:color="D4D4D4"/>
              <w:bottom w:val="single" w:sz="8" w:space="0" w:color="D4D4D4"/>
              <w:right w:val="single" w:sz="8" w:space="0" w:color="D4D4D4"/>
            </w:tcBorders>
          </w:tcPr>
          <w:p>
            <w:pPr>
              <w:pStyle w:val="TableParagraph"/>
              <w:spacing w:line="205" w:lineRule="exact" w:before="17"/>
              <w:ind w:left="35"/>
              <w:rPr>
                <w:rFonts w:ascii="Calibri"/>
                <w:sz w:val="19"/>
              </w:rPr>
            </w:pPr>
            <w:r>
              <w:rPr>
                <w:rFonts w:ascii="Calibri"/>
                <w:w w:val="115"/>
                <w:sz w:val="19"/>
              </w:rPr>
              <w:t>Per Bill</w:t>
            </w: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17" w:type="dxa"/>
            <w:tcBorders>
              <w:top w:val="single" w:sz="8" w:space="0" w:color="D4D4D4"/>
              <w:left w:val="single" w:sz="8" w:space="0" w:color="D4D4D4"/>
              <w:bottom w:val="single" w:sz="8" w:space="0" w:color="D4D4D4"/>
              <w:right w:val="single" w:sz="12" w:space="0" w:color="000000"/>
            </w:tcBorders>
          </w:tcPr>
          <w:p>
            <w:pPr>
              <w:pStyle w:val="TableParagraph"/>
              <w:rPr>
                <w:rFonts w:ascii="Times New Roman"/>
                <w:sz w:val="16"/>
              </w:rPr>
            </w:pPr>
          </w:p>
        </w:tc>
      </w:tr>
      <w:tr>
        <w:trPr>
          <w:trHeight w:val="243" w:hRule="atLeast"/>
        </w:trPr>
        <w:tc>
          <w:tcPr>
            <w:tcW w:w="3738" w:type="dxa"/>
            <w:tcBorders>
              <w:top w:val="single" w:sz="8" w:space="0" w:color="D4D4D4"/>
              <w:bottom w:val="single" w:sz="8" w:space="0" w:color="D4D4D4"/>
              <w:right w:val="single" w:sz="8" w:space="0" w:color="D4D4D4"/>
            </w:tcBorders>
          </w:tcPr>
          <w:p>
            <w:pPr>
              <w:pStyle w:val="TableParagraph"/>
              <w:spacing w:line="204" w:lineRule="exact" w:before="19"/>
              <w:ind w:left="35"/>
              <w:rPr>
                <w:rFonts w:ascii="Calibri"/>
                <w:sz w:val="19"/>
              </w:rPr>
            </w:pPr>
            <w:r>
              <w:rPr>
                <w:rFonts w:ascii="Calibri"/>
                <w:w w:val="115"/>
                <w:sz w:val="19"/>
              </w:rPr>
              <w:t>In Patient Medical Fee Schedule (IMFS)</w:t>
            </w: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17" w:type="dxa"/>
            <w:tcBorders>
              <w:top w:val="single" w:sz="8" w:space="0" w:color="D4D4D4"/>
              <w:left w:val="single" w:sz="8" w:space="0" w:color="D4D4D4"/>
              <w:bottom w:val="single" w:sz="8" w:space="0" w:color="D4D4D4"/>
              <w:right w:val="single" w:sz="12" w:space="0" w:color="000000"/>
            </w:tcBorders>
          </w:tcPr>
          <w:p>
            <w:pPr>
              <w:pStyle w:val="TableParagraph"/>
              <w:rPr>
                <w:rFonts w:ascii="Times New Roman"/>
                <w:sz w:val="16"/>
              </w:rPr>
            </w:pPr>
          </w:p>
        </w:tc>
      </w:tr>
      <w:tr>
        <w:trPr>
          <w:trHeight w:val="242" w:hRule="atLeast"/>
        </w:trPr>
        <w:tc>
          <w:tcPr>
            <w:tcW w:w="3738" w:type="dxa"/>
            <w:tcBorders>
              <w:top w:val="single" w:sz="8" w:space="0" w:color="D4D4D4"/>
              <w:bottom w:val="single" w:sz="8" w:space="0" w:color="D4D4D4"/>
              <w:right w:val="single" w:sz="8" w:space="0" w:color="D4D4D4"/>
            </w:tcBorders>
          </w:tcPr>
          <w:p>
            <w:pPr>
              <w:pStyle w:val="TableParagraph"/>
              <w:spacing w:line="205" w:lineRule="exact" w:before="17"/>
              <w:ind w:left="35"/>
              <w:rPr>
                <w:rFonts w:ascii="Calibri"/>
                <w:sz w:val="19"/>
              </w:rPr>
            </w:pPr>
            <w:r>
              <w:rPr>
                <w:rFonts w:ascii="Calibri"/>
                <w:w w:val="115"/>
                <w:sz w:val="19"/>
              </w:rPr>
              <w:t>PPO Network - % of Savings Fee and Cap</w:t>
            </w: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17" w:type="dxa"/>
            <w:tcBorders>
              <w:top w:val="single" w:sz="8" w:space="0" w:color="D4D4D4"/>
              <w:left w:val="single" w:sz="8" w:space="0" w:color="D4D4D4"/>
              <w:bottom w:val="single" w:sz="8" w:space="0" w:color="D4D4D4"/>
              <w:right w:val="single" w:sz="12" w:space="0" w:color="000000"/>
            </w:tcBorders>
          </w:tcPr>
          <w:p>
            <w:pPr>
              <w:pStyle w:val="TableParagraph"/>
              <w:rPr>
                <w:rFonts w:ascii="Times New Roman"/>
                <w:sz w:val="16"/>
              </w:rPr>
            </w:pPr>
          </w:p>
        </w:tc>
      </w:tr>
      <w:tr>
        <w:trPr>
          <w:trHeight w:val="241" w:hRule="atLeast"/>
        </w:trPr>
        <w:tc>
          <w:tcPr>
            <w:tcW w:w="3738" w:type="dxa"/>
            <w:tcBorders>
              <w:top w:val="single" w:sz="8" w:space="0" w:color="D4D4D4"/>
              <w:bottom w:val="single" w:sz="8" w:space="0" w:color="D4D4D4"/>
              <w:right w:val="single" w:sz="8" w:space="0" w:color="D4D4D4"/>
            </w:tcBorders>
          </w:tcPr>
          <w:p>
            <w:pPr>
              <w:pStyle w:val="TableParagraph"/>
              <w:spacing w:line="205" w:lineRule="exact" w:before="17"/>
              <w:ind w:left="35"/>
              <w:rPr>
                <w:rFonts w:ascii="Calibri"/>
                <w:sz w:val="19"/>
              </w:rPr>
            </w:pPr>
            <w:r>
              <w:rPr>
                <w:rFonts w:ascii="Calibri"/>
                <w:w w:val="115"/>
                <w:sz w:val="19"/>
              </w:rPr>
              <w:t>Pharmacy</w:t>
            </w: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17" w:type="dxa"/>
            <w:tcBorders>
              <w:top w:val="single" w:sz="8" w:space="0" w:color="D4D4D4"/>
              <w:left w:val="single" w:sz="8" w:space="0" w:color="D4D4D4"/>
              <w:bottom w:val="single" w:sz="8" w:space="0" w:color="D4D4D4"/>
              <w:right w:val="single" w:sz="12" w:space="0" w:color="000000"/>
            </w:tcBorders>
          </w:tcPr>
          <w:p>
            <w:pPr>
              <w:pStyle w:val="TableParagraph"/>
              <w:rPr>
                <w:rFonts w:ascii="Times New Roman"/>
                <w:sz w:val="16"/>
              </w:rPr>
            </w:pPr>
          </w:p>
        </w:tc>
      </w:tr>
      <w:tr>
        <w:trPr>
          <w:trHeight w:val="243" w:hRule="atLeast"/>
        </w:trPr>
        <w:tc>
          <w:tcPr>
            <w:tcW w:w="3738" w:type="dxa"/>
            <w:tcBorders>
              <w:top w:val="single" w:sz="8" w:space="0" w:color="D4D4D4"/>
              <w:bottom w:val="single" w:sz="8" w:space="0" w:color="D4D4D4"/>
              <w:right w:val="single" w:sz="8" w:space="0" w:color="D4D4D4"/>
            </w:tcBorders>
          </w:tcPr>
          <w:p>
            <w:pPr>
              <w:pStyle w:val="TableParagraph"/>
              <w:spacing w:line="204" w:lineRule="exact" w:before="19"/>
              <w:ind w:left="35"/>
              <w:rPr>
                <w:rFonts w:ascii="Calibri"/>
                <w:sz w:val="19"/>
              </w:rPr>
            </w:pPr>
            <w:r>
              <w:rPr>
                <w:rFonts w:ascii="Calibri"/>
                <w:w w:val="115"/>
                <w:sz w:val="19"/>
              </w:rPr>
              <w:t>U &amp;C Savings</w:t>
            </w: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17" w:type="dxa"/>
            <w:tcBorders>
              <w:top w:val="single" w:sz="8" w:space="0" w:color="D4D4D4"/>
              <w:left w:val="single" w:sz="8" w:space="0" w:color="D4D4D4"/>
              <w:bottom w:val="single" w:sz="8" w:space="0" w:color="D4D4D4"/>
              <w:right w:val="single" w:sz="12" w:space="0" w:color="000000"/>
            </w:tcBorders>
          </w:tcPr>
          <w:p>
            <w:pPr>
              <w:pStyle w:val="TableParagraph"/>
              <w:rPr>
                <w:rFonts w:ascii="Times New Roman"/>
                <w:sz w:val="16"/>
              </w:rPr>
            </w:pPr>
          </w:p>
        </w:tc>
      </w:tr>
      <w:tr>
        <w:trPr>
          <w:trHeight w:val="241" w:hRule="atLeast"/>
        </w:trPr>
        <w:tc>
          <w:tcPr>
            <w:tcW w:w="3738" w:type="dxa"/>
            <w:tcBorders>
              <w:top w:val="single" w:sz="8" w:space="0" w:color="D4D4D4"/>
              <w:bottom w:val="single" w:sz="8" w:space="0" w:color="D4D4D4"/>
              <w:right w:val="single" w:sz="8" w:space="0" w:color="D4D4D4"/>
            </w:tcBorders>
          </w:tcPr>
          <w:p>
            <w:pPr>
              <w:pStyle w:val="TableParagraph"/>
              <w:spacing w:line="205" w:lineRule="exact" w:before="17"/>
              <w:ind w:left="35"/>
              <w:rPr>
                <w:rFonts w:ascii="Calibri"/>
                <w:sz w:val="19"/>
              </w:rPr>
            </w:pPr>
            <w:r>
              <w:rPr>
                <w:rFonts w:ascii="Calibri"/>
                <w:w w:val="115"/>
                <w:sz w:val="19"/>
              </w:rPr>
              <w:t>Outpatient</w:t>
            </w: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17" w:type="dxa"/>
            <w:tcBorders>
              <w:top w:val="single" w:sz="8" w:space="0" w:color="D4D4D4"/>
              <w:left w:val="single" w:sz="8" w:space="0" w:color="D4D4D4"/>
              <w:bottom w:val="single" w:sz="8" w:space="0" w:color="D4D4D4"/>
              <w:right w:val="single" w:sz="12" w:space="0" w:color="000000"/>
            </w:tcBorders>
          </w:tcPr>
          <w:p>
            <w:pPr>
              <w:pStyle w:val="TableParagraph"/>
              <w:rPr>
                <w:rFonts w:ascii="Times New Roman"/>
                <w:sz w:val="16"/>
              </w:rPr>
            </w:pPr>
          </w:p>
        </w:tc>
      </w:tr>
      <w:tr>
        <w:trPr>
          <w:trHeight w:val="242" w:hRule="atLeast"/>
        </w:trPr>
        <w:tc>
          <w:tcPr>
            <w:tcW w:w="3738" w:type="dxa"/>
            <w:tcBorders>
              <w:top w:val="single" w:sz="8" w:space="0" w:color="D4D4D4"/>
              <w:bottom w:val="single" w:sz="8" w:space="0" w:color="D4D4D4"/>
              <w:right w:val="single" w:sz="8" w:space="0" w:color="D4D4D4"/>
            </w:tcBorders>
          </w:tcPr>
          <w:p>
            <w:pPr>
              <w:pStyle w:val="TableParagraph"/>
              <w:spacing w:line="205" w:lineRule="exact" w:before="17"/>
              <w:ind w:left="35"/>
              <w:rPr>
                <w:rFonts w:ascii="Calibri"/>
                <w:sz w:val="19"/>
              </w:rPr>
            </w:pPr>
            <w:r>
              <w:rPr>
                <w:rFonts w:ascii="Calibri"/>
                <w:w w:val="115"/>
                <w:sz w:val="19"/>
              </w:rPr>
              <w:t>Negotiated</w:t>
            </w: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17" w:type="dxa"/>
            <w:tcBorders>
              <w:top w:val="single" w:sz="8" w:space="0" w:color="D4D4D4"/>
              <w:left w:val="single" w:sz="8" w:space="0" w:color="D4D4D4"/>
              <w:bottom w:val="single" w:sz="8" w:space="0" w:color="D4D4D4"/>
              <w:right w:val="single" w:sz="12" w:space="0" w:color="000000"/>
            </w:tcBorders>
          </w:tcPr>
          <w:p>
            <w:pPr>
              <w:pStyle w:val="TableParagraph"/>
              <w:rPr>
                <w:rFonts w:ascii="Times New Roman"/>
                <w:sz w:val="16"/>
              </w:rPr>
            </w:pPr>
          </w:p>
        </w:tc>
      </w:tr>
      <w:tr>
        <w:trPr>
          <w:trHeight w:val="243" w:hRule="atLeast"/>
        </w:trPr>
        <w:tc>
          <w:tcPr>
            <w:tcW w:w="3738" w:type="dxa"/>
            <w:tcBorders>
              <w:top w:val="single" w:sz="8" w:space="0" w:color="D4D4D4"/>
              <w:bottom w:val="single" w:sz="8" w:space="0" w:color="D4D4D4"/>
              <w:right w:val="single" w:sz="8" w:space="0" w:color="D4D4D4"/>
            </w:tcBorders>
          </w:tcPr>
          <w:p>
            <w:pPr>
              <w:pStyle w:val="TableParagraph"/>
              <w:spacing w:line="204" w:lineRule="exact" w:before="19"/>
              <w:ind w:left="35"/>
              <w:rPr>
                <w:rFonts w:ascii="Calibri"/>
                <w:sz w:val="19"/>
              </w:rPr>
            </w:pPr>
            <w:r>
              <w:rPr>
                <w:rFonts w:ascii="Calibri"/>
                <w:w w:val="115"/>
                <w:sz w:val="19"/>
              </w:rPr>
              <w:t>Meical EDI</w:t>
            </w: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17" w:type="dxa"/>
            <w:tcBorders>
              <w:top w:val="single" w:sz="8" w:space="0" w:color="D4D4D4"/>
              <w:left w:val="single" w:sz="8" w:space="0" w:color="D4D4D4"/>
              <w:bottom w:val="single" w:sz="8" w:space="0" w:color="D4D4D4"/>
              <w:right w:val="single" w:sz="12" w:space="0" w:color="000000"/>
            </w:tcBorders>
          </w:tcPr>
          <w:p>
            <w:pPr>
              <w:pStyle w:val="TableParagraph"/>
              <w:rPr>
                <w:rFonts w:ascii="Times New Roman"/>
                <w:sz w:val="16"/>
              </w:rPr>
            </w:pPr>
          </w:p>
        </w:tc>
      </w:tr>
      <w:tr>
        <w:trPr>
          <w:trHeight w:val="241" w:hRule="atLeast"/>
        </w:trPr>
        <w:tc>
          <w:tcPr>
            <w:tcW w:w="3738" w:type="dxa"/>
            <w:tcBorders>
              <w:top w:val="single" w:sz="8" w:space="0" w:color="D4D4D4"/>
              <w:bottom w:val="single" w:sz="8" w:space="0" w:color="D4D4D4"/>
              <w:right w:val="single" w:sz="8" w:space="0" w:color="D4D4D4"/>
            </w:tcBorders>
          </w:tcPr>
          <w:p>
            <w:pPr>
              <w:pStyle w:val="TableParagraph"/>
              <w:spacing w:line="205" w:lineRule="exact" w:before="17"/>
              <w:ind w:left="35"/>
              <w:rPr>
                <w:rFonts w:ascii="Calibri"/>
                <w:sz w:val="19"/>
              </w:rPr>
            </w:pPr>
            <w:r>
              <w:rPr>
                <w:rFonts w:ascii="Calibri"/>
                <w:w w:val="115"/>
                <w:sz w:val="19"/>
              </w:rPr>
              <w:t>Duplicate Bills</w:t>
            </w: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17" w:type="dxa"/>
            <w:tcBorders>
              <w:top w:val="single" w:sz="8" w:space="0" w:color="D4D4D4"/>
              <w:left w:val="single" w:sz="8" w:space="0" w:color="D4D4D4"/>
              <w:bottom w:val="single" w:sz="8" w:space="0" w:color="D4D4D4"/>
              <w:right w:val="single" w:sz="12" w:space="0" w:color="000000"/>
            </w:tcBorders>
          </w:tcPr>
          <w:p>
            <w:pPr>
              <w:pStyle w:val="TableParagraph"/>
              <w:rPr>
                <w:rFonts w:ascii="Times New Roman"/>
                <w:sz w:val="16"/>
              </w:rPr>
            </w:pPr>
          </w:p>
        </w:tc>
      </w:tr>
      <w:tr>
        <w:trPr>
          <w:trHeight w:val="242" w:hRule="atLeast"/>
        </w:trPr>
        <w:tc>
          <w:tcPr>
            <w:tcW w:w="3738" w:type="dxa"/>
            <w:tcBorders>
              <w:top w:val="single" w:sz="8" w:space="0" w:color="D4D4D4"/>
              <w:bottom w:val="single" w:sz="8" w:space="0" w:color="D4D4D4"/>
              <w:right w:val="single" w:sz="8" w:space="0" w:color="D4D4D4"/>
            </w:tcBorders>
          </w:tcPr>
          <w:p>
            <w:pPr>
              <w:pStyle w:val="TableParagraph"/>
              <w:spacing w:line="205" w:lineRule="exact" w:before="17"/>
              <w:ind w:left="35"/>
              <w:rPr>
                <w:rFonts w:ascii="Calibri"/>
                <w:sz w:val="19"/>
              </w:rPr>
            </w:pPr>
            <w:r>
              <w:rPr>
                <w:rFonts w:ascii="Calibri"/>
                <w:w w:val="115"/>
                <w:sz w:val="19"/>
              </w:rPr>
              <w:t>Specialty Review Fee</w:t>
            </w: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17" w:type="dxa"/>
            <w:tcBorders>
              <w:top w:val="single" w:sz="8" w:space="0" w:color="D4D4D4"/>
              <w:left w:val="single" w:sz="8" w:space="0" w:color="D4D4D4"/>
              <w:bottom w:val="single" w:sz="8" w:space="0" w:color="D4D4D4"/>
              <w:right w:val="single" w:sz="12" w:space="0" w:color="000000"/>
            </w:tcBorders>
          </w:tcPr>
          <w:p>
            <w:pPr>
              <w:pStyle w:val="TableParagraph"/>
              <w:rPr>
                <w:rFonts w:ascii="Times New Roman"/>
                <w:sz w:val="16"/>
              </w:rPr>
            </w:pPr>
          </w:p>
        </w:tc>
      </w:tr>
      <w:tr>
        <w:trPr>
          <w:trHeight w:val="243" w:hRule="atLeast"/>
        </w:trPr>
        <w:tc>
          <w:tcPr>
            <w:tcW w:w="3738" w:type="dxa"/>
            <w:tcBorders>
              <w:top w:val="single" w:sz="8" w:space="0" w:color="D4D4D4"/>
              <w:bottom w:val="single" w:sz="8" w:space="0" w:color="D4D4D4"/>
              <w:right w:val="single" w:sz="8" w:space="0" w:color="D4D4D4"/>
            </w:tcBorders>
          </w:tcPr>
          <w:p>
            <w:pPr>
              <w:pStyle w:val="TableParagraph"/>
              <w:spacing w:line="204" w:lineRule="exact" w:before="18"/>
              <w:ind w:left="35"/>
              <w:rPr>
                <w:rFonts w:ascii="Calibri"/>
                <w:sz w:val="19"/>
              </w:rPr>
            </w:pPr>
            <w:r>
              <w:rPr>
                <w:rFonts w:ascii="Calibri"/>
                <w:w w:val="115"/>
                <w:sz w:val="19"/>
              </w:rPr>
              <w:t>Set Up Fee</w:t>
            </w: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17" w:type="dxa"/>
            <w:tcBorders>
              <w:top w:val="single" w:sz="8" w:space="0" w:color="D4D4D4"/>
              <w:left w:val="single" w:sz="8" w:space="0" w:color="D4D4D4"/>
              <w:bottom w:val="single" w:sz="8" w:space="0" w:color="D4D4D4"/>
              <w:right w:val="single" w:sz="12" w:space="0" w:color="000000"/>
            </w:tcBorders>
          </w:tcPr>
          <w:p>
            <w:pPr>
              <w:pStyle w:val="TableParagraph"/>
              <w:rPr>
                <w:rFonts w:ascii="Times New Roman"/>
                <w:sz w:val="16"/>
              </w:rPr>
            </w:pPr>
          </w:p>
        </w:tc>
      </w:tr>
      <w:tr>
        <w:trPr>
          <w:trHeight w:val="242" w:hRule="atLeast"/>
        </w:trPr>
        <w:tc>
          <w:tcPr>
            <w:tcW w:w="3738" w:type="dxa"/>
            <w:tcBorders>
              <w:top w:val="single" w:sz="8" w:space="0" w:color="D4D4D4"/>
              <w:bottom w:val="single" w:sz="8" w:space="0" w:color="D4D4D4"/>
              <w:right w:val="single" w:sz="8" w:space="0" w:color="D4D4D4"/>
            </w:tcBorders>
          </w:tcPr>
          <w:p>
            <w:pPr>
              <w:pStyle w:val="TableParagraph"/>
              <w:spacing w:line="205" w:lineRule="exact" w:before="17"/>
              <w:ind w:left="35"/>
              <w:rPr>
                <w:rFonts w:ascii="Calibri"/>
                <w:sz w:val="19"/>
              </w:rPr>
            </w:pPr>
            <w:r>
              <w:rPr>
                <w:rFonts w:ascii="Calibri"/>
                <w:w w:val="115"/>
                <w:sz w:val="19"/>
              </w:rPr>
              <w:t>Attendance at Hearings</w:t>
            </w: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17" w:type="dxa"/>
            <w:tcBorders>
              <w:top w:val="single" w:sz="8" w:space="0" w:color="D4D4D4"/>
              <w:left w:val="single" w:sz="8" w:space="0" w:color="D4D4D4"/>
              <w:bottom w:val="single" w:sz="8" w:space="0" w:color="D4D4D4"/>
              <w:right w:val="single" w:sz="12" w:space="0" w:color="000000"/>
            </w:tcBorders>
          </w:tcPr>
          <w:p>
            <w:pPr>
              <w:pStyle w:val="TableParagraph"/>
              <w:rPr>
                <w:rFonts w:ascii="Times New Roman"/>
                <w:sz w:val="16"/>
              </w:rPr>
            </w:pPr>
          </w:p>
        </w:tc>
      </w:tr>
      <w:tr>
        <w:trPr>
          <w:trHeight w:val="241" w:hRule="atLeast"/>
        </w:trPr>
        <w:tc>
          <w:tcPr>
            <w:tcW w:w="3738" w:type="dxa"/>
            <w:tcBorders>
              <w:top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17" w:type="dxa"/>
            <w:tcBorders>
              <w:top w:val="single" w:sz="8" w:space="0" w:color="D4D4D4"/>
              <w:left w:val="single" w:sz="8" w:space="0" w:color="D4D4D4"/>
              <w:bottom w:val="single" w:sz="8" w:space="0" w:color="D4D4D4"/>
              <w:right w:val="single" w:sz="12" w:space="0" w:color="000000"/>
            </w:tcBorders>
          </w:tcPr>
          <w:p>
            <w:pPr>
              <w:pStyle w:val="TableParagraph"/>
              <w:rPr>
                <w:rFonts w:ascii="Times New Roman"/>
                <w:sz w:val="16"/>
              </w:rPr>
            </w:pPr>
          </w:p>
        </w:tc>
      </w:tr>
      <w:tr>
        <w:trPr>
          <w:trHeight w:val="243" w:hRule="atLeast"/>
        </w:trPr>
        <w:tc>
          <w:tcPr>
            <w:tcW w:w="3738" w:type="dxa"/>
            <w:tcBorders>
              <w:top w:val="single" w:sz="8" w:space="0" w:color="D4D4D4"/>
              <w:bottom w:val="single" w:sz="8" w:space="0" w:color="D4D4D4"/>
              <w:right w:val="single" w:sz="8" w:space="0" w:color="D4D4D4"/>
            </w:tcBorders>
          </w:tcPr>
          <w:p>
            <w:pPr>
              <w:pStyle w:val="TableParagraph"/>
              <w:spacing w:line="205" w:lineRule="exact" w:before="18"/>
              <w:ind w:left="35"/>
              <w:rPr>
                <w:rFonts w:ascii="Calibri"/>
                <w:b/>
                <w:sz w:val="19"/>
              </w:rPr>
            </w:pPr>
            <w:r>
              <w:rPr>
                <w:rFonts w:ascii="Calibri"/>
                <w:b/>
                <w:w w:val="115"/>
                <w:sz w:val="19"/>
              </w:rPr>
              <w:t>Nurse Case Management</w:t>
            </w: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17" w:type="dxa"/>
            <w:tcBorders>
              <w:top w:val="single" w:sz="8" w:space="0" w:color="D4D4D4"/>
              <w:left w:val="single" w:sz="8" w:space="0" w:color="D4D4D4"/>
              <w:bottom w:val="single" w:sz="8" w:space="0" w:color="D4D4D4"/>
              <w:right w:val="single" w:sz="12" w:space="0" w:color="000000"/>
            </w:tcBorders>
          </w:tcPr>
          <w:p>
            <w:pPr>
              <w:pStyle w:val="TableParagraph"/>
              <w:rPr>
                <w:rFonts w:ascii="Times New Roman"/>
                <w:sz w:val="16"/>
              </w:rPr>
            </w:pPr>
          </w:p>
        </w:tc>
      </w:tr>
      <w:tr>
        <w:trPr>
          <w:trHeight w:val="242" w:hRule="atLeast"/>
        </w:trPr>
        <w:tc>
          <w:tcPr>
            <w:tcW w:w="3738" w:type="dxa"/>
            <w:tcBorders>
              <w:top w:val="single" w:sz="8" w:space="0" w:color="D4D4D4"/>
              <w:bottom w:val="single" w:sz="8" w:space="0" w:color="D4D4D4"/>
              <w:right w:val="single" w:sz="8" w:space="0" w:color="D4D4D4"/>
            </w:tcBorders>
          </w:tcPr>
          <w:p>
            <w:pPr>
              <w:pStyle w:val="TableParagraph"/>
              <w:spacing w:line="205" w:lineRule="exact" w:before="17"/>
              <w:ind w:left="35"/>
              <w:rPr>
                <w:rFonts w:ascii="Calibri"/>
                <w:sz w:val="19"/>
              </w:rPr>
            </w:pPr>
            <w:r>
              <w:rPr>
                <w:rFonts w:ascii="Calibri"/>
                <w:w w:val="115"/>
                <w:sz w:val="19"/>
              </w:rPr>
              <w:t>Early Intervention/Triage</w:t>
            </w: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17" w:type="dxa"/>
            <w:tcBorders>
              <w:top w:val="single" w:sz="8" w:space="0" w:color="D4D4D4"/>
              <w:left w:val="single" w:sz="8" w:space="0" w:color="D4D4D4"/>
              <w:bottom w:val="single" w:sz="8" w:space="0" w:color="D4D4D4"/>
              <w:right w:val="single" w:sz="12" w:space="0" w:color="000000"/>
            </w:tcBorders>
          </w:tcPr>
          <w:p>
            <w:pPr>
              <w:pStyle w:val="TableParagraph"/>
              <w:rPr>
                <w:rFonts w:ascii="Times New Roman"/>
                <w:sz w:val="16"/>
              </w:rPr>
            </w:pPr>
          </w:p>
        </w:tc>
      </w:tr>
      <w:tr>
        <w:trPr>
          <w:trHeight w:val="241" w:hRule="atLeast"/>
        </w:trPr>
        <w:tc>
          <w:tcPr>
            <w:tcW w:w="3738" w:type="dxa"/>
            <w:tcBorders>
              <w:top w:val="single" w:sz="8" w:space="0" w:color="D4D4D4"/>
              <w:bottom w:val="single" w:sz="8" w:space="0" w:color="D4D4D4"/>
              <w:right w:val="single" w:sz="8" w:space="0" w:color="D4D4D4"/>
            </w:tcBorders>
          </w:tcPr>
          <w:p>
            <w:pPr>
              <w:pStyle w:val="TableParagraph"/>
              <w:spacing w:line="205" w:lineRule="exact" w:before="16"/>
              <w:ind w:left="35"/>
              <w:rPr>
                <w:rFonts w:ascii="Calibri"/>
                <w:sz w:val="19"/>
              </w:rPr>
            </w:pPr>
            <w:r>
              <w:rPr>
                <w:rFonts w:ascii="Calibri"/>
                <w:w w:val="115"/>
                <w:sz w:val="19"/>
              </w:rPr>
              <w:t>Other (Specify)</w:t>
            </w: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17" w:type="dxa"/>
            <w:tcBorders>
              <w:top w:val="single" w:sz="8" w:space="0" w:color="D4D4D4"/>
              <w:left w:val="single" w:sz="8" w:space="0" w:color="D4D4D4"/>
              <w:bottom w:val="single" w:sz="8" w:space="0" w:color="D4D4D4"/>
              <w:right w:val="single" w:sz="12" w:space="0" w:color="000000"/>
            </w:tcBorders>
          </w:tcPr>
          <w:p>
            <w:pPr>
              <w:pStyle w:val="TableParagraph"/>
              <w:rPr>
                <w:rFonts w:ascii="Times New Roman"/>
                <w:sz w:val="16"/>
              </w:rPr>
            </w:pPr>
          </w:p>
        </w:tc>
      </w:tr>
      <w:tr>
        <w:trPr>
          <w:trHeight w:val="243" w:hRule="atLeast"/>
        </w:trPr>
        <w:tc>
          <w:tcPr>
            <w:tcW w:w="3738" w:type="dxa"/>
            <w:tcBorders>
              <w:top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17" w:type="dxa"/>
            <w:tcBorders>
              <w:top w:val="single" w:sz="8" w:space="0" w:color="D4D4D4"/>
              <w:left w:val="single" w:sz="8" w:space="0" w:color="D4D4D4"/>
              <w:bottom w:val="single" w:sz="8" w:space="0" w:color="D4D4D4"/>
              <w:right w:val="single" w:sz="12" w:space="0" w:color="000000"/>
            </w:tcBorders>
          </w:tcPr>
          <w:p>
            <w:pPr>
              <w:pStyle w:val="TableParagraph"/>
              <w:rPr>
                <w:rFonts w:ascii="Times New Roman"/>
                <w:sz w:val="16"/>
              </w:rPr>
            </w:pPr>
          </w:p>
        </w:tc>
      </w:tr>
      <w:tr>
        <w:trPr>
          <w:trHeight w:val="241" w:hRule="atLeast"/>
        </w:trPr>
        <w:tc>
          <w:tcPr>
            <w:tcW w:w="3738" w:type="dxa"/>
            <w:tcBorders>
              <w:top w:val="single" w:sz="8" w:space="0" w:color="D4D4D4"/>
              <w:bottom w:val="single" w:sz="8" w:space="0" w:color="D4D4D4"/>
              <w:right w:val="single" w:sz="8" w:space="0" w:color="D4D4D4"/>
            </w:tcBorders>
          </w:tcPr>
          <w:p>
            <w:pPr>
              <w:pStyle w:val="TableParagraph"/>
              <w:spacing w:line="205" w:lineRule="exact" w:before="17"/>
              <w:ind w:left="35"/>
              <w:rPr>
                <w:rFonts w:ascii="Calibri"/>
                <w:b/>
                <w:sz w:val="19"/>
              </w:rPr>
            </w:pPr>
            <w:r>
              <w:rPr>
                <w:rFonts w:ascii="Calibri"/>
                <w:b/>
                <w:w w:val="115"/>
                <w:sz w:val="19"/>
              </w:rPr>
              <w:t>Utilization Review</w:t>
            </w: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17" w:type="dxa"/>
            <w:tcBorders>
              <w:top w:val="single" w:sz="8" w:space="0" w:color="D4D4D4"/>
              <w:left w:val="single" w:sz="8" w:space="0" w:color="D4D4D4"/>
              <w:bottom w:val="single" w:sz="8" w:space="0" w:color="D4D4D4"/>
              <w:right w:val="single" w:sz="12" w:space="0" w:color="000000"/>
            </w:tcBorders>
          </w:tcPr>
          <w:p>
            <w:pPr>
              <w:pStyle w:val="TableParagraph"/>
              <w:rPr>
                <w:rFonts w:ascii="Times New Roman"/>
                <w:sz w:val="16"/>
              </w:rPr>
            </w:pPr>
          </w:p>
        </w:tc>
      </w:tr>
      <w:tr>
        <w:trPr>
          <w:trHeight w:val="242" w:hRule="atLeast"/>
        </w:trPr>
        <w:tc>
          <w:tcPr>
            <w:tcW w:w="3738" w:type="dxa"/>
            <w:tcBorders>
              <w:top w:val="single" w:sz="8" w:space="0" w:color="D4D4D4"/>
              <w:bottom w:val="single" w:sz="8" w:space="0" w:color="D4D4D4"/>
              <w:right w:val="single" w:sz="8" w:space="0" w:color="D4D4D4"/>
            </w:tcBorders>
          </w:tcPr>
          <w:p>
            <w:pPr>
              <w:pStyle w:val="TableParagraph"/>
              <w:spacing w:line="203" w:lineRule="exact" w:before="19"/>
              <w:ind w:left="35"/>
              <w:rPr>
                <w:rFonts w:ascii="Calibri"/>
                <w:sz w:val="19"/>
              </w:rPr>
            </w:pPr>
            <w:r>
              <w:rPr>
                <w:rFonts w:ascii="Calibri"/>
                <w:w w:val="115"/>
                <w:sz w:val="19"/>
              </w:rPr>
              <w:t>1st Level Peer Review</w:t>
            </w: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17" w:type="dxa"/>
            <w:tcBorders>
              <w:top w:val="single" w:sz="8" w:space="0" w:color="D4D4D4"/>
              <w:left w:val="single" w:sz="8" w:space="0" w:color="D4D4D4"/>
              <w:bottom w:val="single" w:sz="8" w:space="0" w:color="D4D4D4"/>
              <w:right w:val="single" w:sz="12" w:space="0" w:color="000000"/>
            </w:tcBorders>
          </w:tcPr>
          <w:p>
            <w:pPr>
              <w:pStyle w:val="TableParagraph"/>
              <w:rPr>
                <w:rFonts w:ascii="Times New Roman"/>
                <w:sz w:val="16"/>
              </w:rPr>
            </w:pPr>
          </w:p>
        </w:tc>
      </w:tr>
      <w:tr>
        <w:trPr>
          <w:trHeight w:val="243" w:hRule="atLeast"/>
        </w:trPr>
        <w:tc>
          <w:tcPr>
            <w:tcW w:w="3738" w:type="dxa"/>
            <w:tcBorders>
              <w:top w:val="single" w:sz="8" w:space="0" w:color="D4D4D4"/>
              <w:bottom w:val="single" w:sz="8" w:space="0" w:color="D4D4D4"/>
              <w:right w:val="single" w:sz="8" w:space="0" w:color="D4D4D4"/>
            </w:tcBorders>
          </w:tcPr>
          <w:p>
            <w:pPr>
              <w:pStyle w:val="TableParagraph"/>
              <w:spacing w:line="205" w:lineRule="exact" w:before="18"/>
              <w:ind w:left="35"/>
              <w:rPr>
                <w:rFonts w:ascii="Calibri"/>
                <w:sz w:val="19"/>
              </w:rPr>
            </w:pPr>
            <w:r>
              <w:rPr>
                <w:rFonts w:ascii="Calibri"/>
                <w:w w:val="115"/>
                <w:sz w:val="19"/>
              </w:rPr>
              <w:t>Other (Specify)</w:t>
            </w: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17" w:type="dxa"/>
            <w:tcBorders>
              <w:top w:val="single" w:sz="8" w:space="0" w:color="D4D4D4"/>
              <w:left w:val="single" w:sz="8" w:space="0" w:color="D4D4D4"/>
              <w:bottom w:val="single" w:sz="8" w:space="0" w:color="D4D4D4"/>
              <w:right w:val="single" w:sz="12" w:space="0" w:color="000000"/>
            </w:tcBorders>
          </w:tcPr>
          <w:p>
            <w:pPr>
              <w:pStyle w:val="TableParagraph"/>
              <w:rPr>
                <w:rFonts w:ascii="Times New Roman"/>
                <w:sz w:val="16"/>
              </w:rPr>
            </w:pPr>
          </w:p>
        </w:tc>
      </w:tr>
      <w:tr>
        <w:trPr>
          <w:trHeight w:val="242" w:hRule="atLeast"/>
        </w:trPr>
        <w:tc>
          <w:tcPr>
            <w:tcW w:w="3738" w:type="dxa"/>
            <w:tcBorders>
              <w:top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8" w:space="0" w:color="D4D4D4"/>
              <w:right w:val="single" w:sz="8" w:space="0" w:color="D4D4D4"/>
            </w:tcBorders>
          </w:tcPr>
          <w:p>
            <w:pPr>
              <w:pStyle w:val="TableParagraph"/>
              <w:rPr>
                <w:rFonts w:ascii="Times New Roman"/>
                <w:sz w:val="16"/>
              </w:rPr>
            </w:pPr>
          </w:p>
        </w:tc>
        <w:tc>
          <w:tcPr>
            <w:tcW w:w="917" w:type="dxa"/>
            <w:tcBorders>
              <w:top w:val="single" w:sz="8" w:space="0" w:color="D4D4D4"/>
              <w:left w:val="single" w:sz="8" w:space="0" w:color="D4D4D4"/>
              <w:bottom w:val="single" w:sz="8" w:space="0" w:color="D4D4D4"/>
              <w:right w:val="single" w:sz="12" w:space="0" w:color="000000"/>
            </w:tcBorders>
          </w:tcPr>
          <w:p>
            <w:pPr>
              <w:pStyle w:val="TableParagraph"/>
              <w:rPr>
                <w:rFonts w:ascii="Times New Roman"/>
                <w:sz w:val="16"/>
              </w:rPr>
            </w:pPr>
          </w:p>
        </w:tc>
      </w:tr>
      <w:tr>
        <w:trPr>
          <w:trHeight w:val="246" w:hRule="atLeast"/>
        </w:trPr>
        <w:tc>
          <w:tcPr>
            <w:tcW w:w="3738" w:type="dxa"/>
            <w:tcBorders>
              <w:top w:val="single" w:sz="8" w:space="0" w:color="D4D4D4"/>
              <w:bottom w:val="single" w:sz="12" w:space="0" w:color="000000"/>
              <w:right w:val="single" w:sz="8" w:space="0" w:color="D4D4D4"/>
            </w:tcBorders>
          </w:tcPr>
          <w:p>
            <w:pPr>
              <w:pStyle w:val="TableParagraph"/>
              <w:spacing w:line="207" w:lineRule="exact" w:before="19"/>
              <w:ind w:left="35"/>
              <w:rPr>
                <w:rFonts w:ascii="Calibri"/>
                <w:sz w:val="19"/>
              </w:rPr>
            </w:pPr>
            <w:r>
              <w:rPr>
                <w:rFonts w:ascii="Calibri"/>
                <w:w w:val="115"/>
                <w:sz w:val="19"/>
              </w:rPr>
              <w:t>Total Bill Review/ Per year</w:t>
            </w:r>
          </w:p>
        </w:tc>
        <w:tc>
          <w:tcPr>
            <w:tcW w:w="936" w:type="dxa"/>
            <w:tcBorders>
              <w:top w:val="single" w:sz="8" w:space="0" w:color="D4D4D4"/>
              <w:left w:val="single" w:sz="8" w:space="0" w:color="D4D4D4"/>
              <w:bottom w:val="single" w:sz="12" w:space="0" w:color="000000"/>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12" w:space="0" w:color="000000"/>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12" w:space="0" w:color="000000"/>
              <w:right w:val="single" w:sz="8" w:space="0" w:color="D4D4D4"/>
            </w:tcBorders>
          </w:tcPr>
          <w:p>
            <w:pPr>
              <w:pStyle w:val="TableParagraph"/>
              <w:rPr>
                <w:rFonts w:ascii="Times New Roman"/>
                <w:sz w:val="16"/>
              </w:rPr>
            </w:pPr>
          </w:p>
        </w:tc>
        <w:tc>
          <w:tcPr>
            <w:tcW w:w="936" w:type="dxa"/>
            <w:tcBorders>
              <w:top w:val="single" w:sz="8" w:space="0" w:color="D4D4D4"/>
              <w:left w:val="single" w:sz="8" w:space="0" w:color="D4D4D4"/>
              <w:bottom w:val="single" w:sz="12" w:space="0" w:color="000000"/>
              <w:right w:val="single" w:sz="8" w:space="0" w:color="D4D4D4"/>
            </w:tcBorders>
          </w:tcPr>
          <w:p>
            <w:pPr>
              <w:pStyle w:val="TableParagraph"/>
              <w:rPr>
                <w:rFonts w:ascii="Times New Roman"/>
                <w:sz w:val="16"/>
              </w:rPr>
            </w:pPr>
          </w:p>
        </w:tc>
        <w:tc>
          <w:tcPr>
            <w:tcW w:w="935" w:type="dxa"/>
            <w:tcBorders>
              <w:top w:val="single" w:sz="8" w:space="0" w:color="D4D4D4"/>
              <w:left w:val="single" w:sz="8" w:space="0" w:color="D4D4D4"/>
              <w:bottom w:val="single" w:sz="12" w:space="0" w:color="000000"/>
              <w:right w:val="single" w:sz="8" w:space="0" w:color="D4D4D4"/>
            </w:tcBorders>
          </w:tcPr>
          <w:p>
            <w:pPr>
              <w:pStyle w:val="TableParagraph"/>
              <w:rPr>
                <w:rFonts w:ascii="Times New Roman"/>
                <w:sz w:val="16"/>
              </w:rPr>
            </w:pPr>
          </w:p>
        </w:tc>
        <w:tc>
          <w:tcPr>
            <w:tcW w:w="917" w:type="dxa"/>
            <w:tcBorders>
              <w:top w:val="single" w:sz="8" w:space="0" w:color="D4D4D4"/>
              <w:left w:val="single" w:sz="8" w:space="0" w:color="D4D4D4"/>
              <w:bottom w:val="single" w:sz="12" w:space="0" w:color="000000"/>
              <w:right w:val="single" w:sz="12" w:space="0" w:color="000000"/>
            </w:tcBorders>
          </w:tcPr>
          <w:p>
            <w:pPr>
              <w:pStyle w:val="TableParagraph"/>
              <w:rPr>
                <w:rFonts w:ascii="Times New Roman"/>
                <w:sz w:val="16"/>
              </w:rPr>
            </w:pPr>
          </w:p>
        </w:tc>
      </w:tr>
    </w:tbl>
    <w:p>
      <w:pPr>
        <w:spacing w:after="0"/>
        <w:rPr>
          <w:rFonts w:ascii="Times New Roman"/>
          <w:sz w:val="16"/>
        </w:rPr>
        <w:sectPr>
          <w:pgSz w:w="12240" w:h="15840"/>
          <w:pgMar w:header="0" w:footer="1168" w:top="740" w:bottom="1360" w:left="960" w:right="960"/>
        </w:sectPr>
      </w:pPr>
    </w:p>
    <w:p>
      <w:pPr>
        <w:pStyle w:val="Heading1"/>
        <w:rPr>
          <w:u w:val="none"/>
        </w:rPr>
      </w:pPr>
      <w:r>
        <w:rPr/>
        <w:pict>
          <v:group style="position:absolute;margin-left:26.160002pt;margin-top:26.160002pt;width:561.85pt;height:741.85pt;mso-position-horizontal-relative:page;mso-position-vertical-relative:page;z-index:-253960192" coordorigin="523,523" coordsize="11237,14837">
            <v:line style="position:absolute" from="523,545" to="11674,545" stroked="true" strokeweight="2.159998pt" strokecolor="#000000">
              <v:stroke dashstyle="solid"/>
            </v:line>
            <v:rect style="position:absolute;left:11673;top:523;width:44;height:44" filled="true" fillcolor="#000000" stroked="false">
              <v:fill type="solid"/>
            </v:rect>
            <v:line style="position:absolute" from="545,566" to="545,15317" stroked="true" strokeweight="2.159998pt" strokecolor="#000000">
              <v:stroke dashstyle="solid"/>
            </v:line>
            <v:line style="position:absolute" from="11717,566" to="11717,15274" stroked="true" strokeweight="4.320008pt" strokecolor="#000000">
              <v:stroke dashstyle="solid"/>
            </v:line>
            <v:line style="position:absolute" from="566,15317" to="11674,15317" stroked="true" strokeweight="4.320008pt" strokecolor="#000000">
              <v:stroke dashstyle="solid"/>
            </v:line>
            <v:shape style="position:absolute;left:11673;top:15273;width:87;height:87" coordorigin="11674,15274" coordsize="87,87" path="m11760,15274l11717,15274,11674,15274,11674,15317,11674,15360,11717,15360,11760,15360,11760,15317,11760,15274e" filled="true" fillcolor="#000000" stroked="false">
              <v:path arrowok="t"/>
              <v:fill type="solid"/>
            </v:shape>
            <w10:wrap type="none"/>
          </v:group>
        </w:pict>
      </w:r>
      <w:r>
        <w:rPr>
          <w:spacing w:val="-187"/>
          <w:u w:val="thick"/>
        </w:rPr>
        <w:t>E</w:t>
      </w:r>
      <w:r>
        <w:rPr>
          <w:spacing w:val="112"/>
          <w:u w:val="none"/>
        </w:rPr>
        <w:t> </w:t>
      </w:r>
      <w:r>
        <w:rPr>
          <w:u w:val="thick"/>
        </w:rPr>
        <w:t>XHIBIT “1”</w:t>
      </w:r>
    </w:p>
    <w:p>
      <w:pPr>
        <w:pStyle w:val="Heading2"/>
        <w:ind w:right="1053"/>
      </w:pPr>
      <w:r>
        <w:rPr/>
        <w:t>STANDARD CONSULTING AGREEMENT EXAMPLE</w:t>
      </w:r>
    </w:p>
    <w:p>
      <w:pPr>
        <w:pStyle w:val="BodyText"/>
        <w:spacing w:before="10"/>
        <w:rPr>
          <w:b/>
          <w:sz w:val="19"/>
        </w:rPr>
      </w:pPr>
    </w:p>
    <w:p>
      <w:pPr>
        <w:pStyle w:val="BodyText"/>
        <w:spacing w:line="322" w:lineRule="exact" w:before="92"/>
        <w:ind w:left="1046" w:right="1046"/>
        <w:jc w:val="center"/>
      </w:pPr>
      <w:r>
        <w:rPr>
          <w:sz w:val="28"/>
        </w:rPr>
        <w:t>C</w:t>
      </w:r>
      <w:r>
        <w:rPr/>
        <w:t>ITY OF </w:t>
      </w:r>
      <w:r>
        <w:rPr>
          <w:sz w:val="28"/>
        </w:rPr>
        <w:t>E</w:t>
      </w:r>
      <w:r>
        <w:rPr/>
        <w:t>SCONDIDO</w:t>
      </w:r>
    </w:p>
    <w:p>
      <w:pPr>
        <w:pStyle w:val="BodyText"/>
        <w:ind w:left="1046" w:right="1042"/>
        <w:jc w:val="center"/>
      </w:pPr>
      <w:r>
        <w:rPr>
          <w:spacing w:val="-202"/>
          <w:sz w:val="28"/>
          <w:u w:val="thick"/>
        </w:rPr>
        <w:t>C</w:t>
      </w:r>
      <w:r>
        <w:rPr>
          <w:spacing w:val="126"/>
          <w:sz w:val="28"/>
        </w:rPr>
        <w:t> </w:t>
      </w:r>
      <w:r>
        <w:rPr>
          <w:u w:val="thick"/>
        </w:rPr>
        <w:t>ONTRACT FOR </w:t>
      </w:r>
      <w:r>
        <w:rPr>
          <w:sz w:val="28"/>
          <w:u w:val="thick"/>
        </w:rPr>
        <w:t>W</w:t>
      </w:r>
      <w:r>
        <w:rPr>
          <w:u w:val="thick"/>
        </w:rPr>
        <w:t>ORKERS</w:t>
      </w:r>
      <w:r>
        <w:rPr>
          <w:sz w:val="28"/>
          <w:u w:val="thick"/>
        </w:rPr>
        <w:t>’ C</w:t>
      </w:r>
      <w:r>
        <w:rPr>
          <w:u w:val="thick"/>
        </w:rPr>
        <w:t>OMPENSATION </w:t>
      </w:r>
      <w:r>
        <w:rPr>
          <w:sz w:val="28"/>
          <w:u w:val="thick"/>
        </w:rPr>
        <w:t>C</w:t>
      </w:r>
      <w:r>
        <w:rPr>
          <w:u w:val="thick"/>
        </w:rPr>
        <w:t>LAIMS </w:t>
      </w:r>
      <w:r>
        <w:rPr>
          <w:sz w:val="28"/>
          <w:u w:val="thick"/>
        </w:rPr>
        <w:t>A</w:t>
      </w:r>
      <w:r>
        <w:rPr>
          <w:u w:val="thick"/>
        </w:rPr>
        <w:t>DMINISTRATION</w:t>
      </w:r>
    </w:p>
    <w:p>
      <w:pPr>
        <w:pStyle w:val="BodyText"/>
        <w:tabs>
          <w:tab w:pos="8706" w:val="left" w:leader="none"/>
        </w:tabs>
        <w:spacing w:before="108"/>
        <w:ind w:left="480"/>
      </w:pPr>
      <w:r>
        <w:rPr/>
        <w:t>This Consulting Agreement (“Agreement”) is made and entered into as</w:t>
      </w:r>
      <w:r>
        <w:rPr>
          <w:spacing w:val="-19"/>
        </w:rPr>
        <w:t> </w:t>
      </w:r>
      <w:r>
        <w:rPr/>
        <w:t>of</w:t>
      </w:r>
      <w:r>
        <w:rPr>
          <w:spacing w:val="-2"/>
        </w:rPr>
        <w:t> </w:t>
      </w:r>
      <w:r>
        <w:rPr/>
        <w:t>this</w:t>
      </w:r>
      <w:r>
        <w:rPr>
          <w:u w:val="single"/>
        </w:rPr>
        <w:t> </w:t>
        <w:tab/>
      </w:r>
      <w:r>
        <w:rPr/>
        <w:t>day</w:t>
      </w:r>
      <w:r>
        <w:rPr>
          <w:spacing w:val="-4"/>
        </w:rPr>
        <w:t> </w:t>
      </w:r>
      <w:r>
        <w:rPr/>
        <w:t>of</w:t>
      </w:r>
    </w:p>
    <w:p>
      <w:pPr>
        <w:pStyle w:val="BodyText"/>
        <w:tabs>
          <w:tab w:pos="2364" w:val="left" w:leader="none"/>
        </w:tabs>
        <w:spacing w:before="107"/>
        <w:ind w:left="480"/>
      </w:pPr>
      <w:r>
        <w:rPr>
          <w:rFonts w:ascii="Times New Roman" w:hAnsi="Times New Roman"/>
          <w:w w:val="100"/>
          <w:u w:val="single"/>
        </w:rPr>
        <w:t> </w:t>
      </w:r>
      <w:r>
        <w:rPr>
          <w:rFonts w:ascii="Times New Roman" w:hAnsi="Times New Roman"/>
          <w:u w:val="single"/>
        </w:rPr>
        <w:tab/>
      </w:r>
      <w:r>
        <w:rPr/>
        <w:t>2020 (“Effective</w:t>
      </w:r>
      <w:r>
        <w:rPr>
          <w:spacing w:val="-1"/>
        </w:rPr>
        <w:t> </w:t>
      </w:r>
      <w:r>
        <w:rPr/>
        <w:t>Date”)</w:t>
      </w:r>
    </w:p>
    <w:p>
      <w:pPr>
        <w:pStyle w:val="BodyText"/>
        <w:rPr>
          <w:sz w:val="24"/>
        </w:rPr>
      </w:pPr>
    </w:p>
    <w:p>
      <w:pPr>
        <w:pStyle w:val="BodyText"/>
        <w:rPr>
          <w:sz w:val="24"/>
        </w:rPr>
      </w:pPr>
    </w:p>
    <w:p>
      <w:pPr>
        <w:pStyle w:val="BodyText"/>
        <w:spacing w:before="3"/>
        <w:rPr>
          <w:sz w:val="27"/>
        </w:rPr>
      </w:pPr>
    </w:p>
    <w:p>
      <w:pPr>
        <w:pStyle w:val="BodyText"/>
        <w:tabs>
          <w:tab w:pos="3357" w:val="left" w:leader="none"/>
        </w:tabs>
        <w:spacing w:line="252" w:lineRule="exact"/>
        <w:ind w:left="1200"/>
      </w:pPr>
      <w:r>
        <w:rPr/>
        <w:t>Between:</w:t>
        <w:tab/>
        <w:t>CITY OF</w:t>
      </w:r>
      <w:r>
        <w:rPr>
          <w:spacing w:val="-5"/>
        </w:rPr>
        <w:t> </w:t>
      </w:r>
      <w:r>
        <w:rPr/>
        <w:t>ESCONDIDO</w:t>
      </w:r>
    </w:p>
    <w:p>
      <w:pPr>
        <w:pStyle w:val="BodyText"/>
        <w:ind w:left="3359" w:right="3676"/>
      </w:pPr>
      <w:r>
        <w:rPr/>
        <w:t>a California municipal corporation 201 N. Broadway</w:t>
      </w:r>
    </w:p>
    <w:p>
      <w:pPr>
        <w:pStyle w:val="BodyText"/>
        <w:ind w:left="3359"/>
      </w:pPr>
      <w:r>
        <w:rPr/>
        <w:t>Escondido, CA 92025</w:t>
      </w:r>
    </w:p>
    <w:p>
      <w:pPr>
        <w:pStyle w:val="BodyText"/>
        <w:spacing w:before="2"/>
        <w:ind w:left="3359" w:right="3028"/>
      </w:pPr>
      <w:r>
        <w:rPr/>
        <w:t>Attn: [name of primary City staff contact] (760) xxx-xxxx</w:t>
      </w:r>
    </w:p>
    <w:p>
      <w:pPr>
        <w:pStyle w:val="BodyText"/>
        <w:spacing w:line="251" w:lineRule="exact"/>
        <w:ind w:left="3359"/>
      </w:pPr>
      <w:r>
        <w:rPr/>
        <w:t>("CITY")</w:t>
      </w:r>
    </w:p>
    <w:p>
      <w:pPr>
        <w:pStyle w:val="BodyText"/>
      </w:pPr>
    </w:p>
    <w:p>
      <w:pPr>
        <w:pStyle w:val="BodyText"/>
        <w:tabs>
          <w:tab w:pos="3359" w:val="left" w:leader="none"/>
        </w:tabs>
        <w:ind w:left="1200"/>
      </w:pPr>
      <w:r>
        <w:rPr/>
        <w:t>And:</w:t>
        <w:tab/>
        <w:t>[Name]</w:t>
      </w:r>
    </w:p>
    <w:p>
      <w:pPr>
        <w:pStyle w:val="BodyText"/>
        <w:spacing w:before="1"/>
        <w:ind w:left="3359" w:right="2077"/>
      </w:pPr>
      <w:r>
        <w:rPr/>
        <w:t>[Entity Type: e.g., “a California corporation”] [Street address]</w:t>
      </w:r>
    </w:p>
    <w:p>
      <w:pPr>
        <w:pStyle w:val="BodyText"/>
        <w:ind w:left="3359" w:right="4739"/>
      </w:pPr>
      <w:r>
        <w:rPr/>
        <w:t>[City, state, zip code] Attn: [name of contact] [telephone number] ("TPA").</w:t>
      </w:r>
    </w:p>
    <w:p>
      <w:pPr>
        <w:pStyle w:val="BodyText"/>
        <w:spacing w:line="340" w:lineRule="auto" w:before="107"/>
        <w:ind w:left="480" w:firstLine="720"/>
      </w:pPr>
      <w:r>
        <w:rPr/>
        <w:t>WHEREAS, the CITY has determined that it is in the CITY’s best interest to retain the professional services of a third party to administer (“TPA”) to administer the City’s Workers’ Compensation Program;</w:t>
      </w:r>
    </w:p>
    <w:p>
      <w:pPr>
        <w:pStyle w:val="BodyText"/>
        <w:spacing w:line="340" w:lineRule="auto" w:before="123"/>
        <w:ind w:left="480" w:right="563" w:firstLine="720"/>
      </w:pPr>
      <w:r>
        <w:rPr/>
        <w:t>WHEREAS, TPA is considered competent to perform the necessary professional services for the CITY; and</w:t>
      </w:r>
    </w:p>
    <w:p>
      <w:pPr>
        <w:pStyle w:val="BodyText"/>
        <w:spacing w:line="340" w:lineRule="auto" w:before="121"/>
        <w:ind w:left="480" w:right="675" w:firstLine="720"/>
      </w:pPr>
      <w:r>
        <w:rPr/>
        <w:t>WHEREAS, the CITY and TPA desire to enter into this Agreement for the performance of the Services described herein.</w:t>
      </w:r>
    </w:p>
    <w:p>
      <w:pPr>
        <w:pStyle w:val="BodyText"/>
        <w:spacing w:before="122"/>
        <w:ind w:left="1200"/>
      </w:pPr>
      <w:r>
        <w:rPr/>
        <w:t>NOW, THEREFORE, it is mutually agreed as follows:</w:t>
      </w:r>
    </w:p>
    <w:p>
      <w:pPr>
        <w:pStyle w:val="BodyText"/>
        <w:spacing w:before="5"/>
        <w:rPr>
          <w:sz w:val="20"/>
        </w:rPr>
      </w:pPr>
    </w:p>
    <w:p>
      <w:pPr>
        <w:pStyle w:val="ListParagraph"/>
        <w:numPr>
          <w:ilvl w:val="0"/>
          <w:numId w:val="6"/>
        </w:numPr>
        <w:tabs>
          <w:tab w:pos="840" w:val="left" w:leader="none"/>
        </w:tabs>
        <w:spacing w:line="228" w:lineRule="auto" w:before="0" w:after="0"/>
        <w:ind w:left="840" w:right="484" w:hanging="360"/>
        <w:jc w:val="both"/>
        <w:rPr>
          <w:sz w:val="22"/>
        </w:rPr>
      </w:pPr>
      <w:r>
        <w:rPr>
          <w:rFonts w:ascii="Times New Roman" w:hAnsi="Times New Roman"/>
          <w:spacing w:val="-55"/>
          <w:w w:val="100"/>
          <w:sz w:val="22"/>
          <w:u w:val="single"/>
        </w:rPr>
        <w:t> </w:t>
      </w:r>
      <w:r>
        <w:rPr>
          <w:sz w:val="22"/>
          <w:u w:val="single"/>
        </w:rPr>
        <w:t>Description of Services</w:t>
      </w:r>
      <w:r>
        <w:rPr>
          <w:sz w:val="22"/>
        </w:rPr>
        <w:t>. TPA shall furnish all of the Services described in the Scope of</w:t>
      </w:r>
      <w:r>
        <w:rPr>
          <w:spacing w:val="-42"/>
          <w:sz w:val="22"/>
        </w:rPr>
        <w:t> </w:t>
      </w:r>
      <w:r>
        <w:rPr>
          <w:sz w:val="22"/>
        </w:rPr>
        <w:t>Work, which is attached to this Agreement as </w:t>
      </w:r>
      <w:r>
        <w:rPr>
          <w:sz w:val="22"/>
          <w:u w:val="single"/>
        </w:rPr>
        <w:t>Attachment “A”</w:t>
      </w:r>
      <w:r>
        <w:rPr>
          <w:sz w:val="22"/>
        </w:rPr>
        <w:t> and incorporated herein by this reference</w:t>
      </w:r>
      <w:r>
        <w:rPr>
          <w:spacing w:val="-3"/>
          <w:sz w:val="22"/>
        </w:rPr>
        <w:t> </w:t>
      </w:r>
      <w:r>
        <w:rPr>
          <w:sz w:val="22"/>
        </w:rPr>
        <w:t>(“Services”).</w:t>
      </w:r>
    </w:p>
    <w:p>
      <w:pPr>
        <w:pStyle w:val="BodyText"/>
        <w:spacing w:before="9"/>
        <w:rPr>
          <w:sz w:val="20"/>
        </w:rPr>
      </w:pPr>
    </w:p>
    <w:p>
      <w:pPr>
        <w:pStyle w:val="ListParagraph"/>
        <w:numPr>
          <w:ilvl w:val="0"/>
          <w:numId w:val="6"/>
        </w:numPr>
        <w:tabs>
          <w:tab w:pos="840" w:val="left" w:leader="none"/>
          <w:tab w:pos="8309" w:val="left" w:leader="none"/>
        </w:tabs>
        <w:spacing w:line="228" w:lineRule="auto" w:before="0" w:after="0"/>
        <w:ind w:left="840" w:right="480" w:hanging="360"/>
        <w:jc w:val="both"/>
        <w:rPr>
          <w:sz w:val="22"/>
        </w:rPr>
      </w:pPr>
      <w:r>
        <w:rPr>
          <w:rFonts w:ascii="Times New Roman" w:hAnsi="Times New Roman"/>
          <w:spacing w:val="-55"/>
          <w:w w:val="100"/>
          <w:sz w:val="22"/>
          <w:u w:val="single"/>
        </w:rPr>
        <w:t> </w:t>
      </w:r>
      <w:r>
        <w:rPr>
          <w:sz w:val="22"/>
          <w:u w:val="single"/>
        </w:rPr>
        <w:t>Compensation</w:t>
      </w:r>
      <w:r>
        <w:rPr>
          <w:sz w:val="22"/>
        </w:rPr>
        <w:t>. In exchange for TPA’s completion of the Services, the CITY shall pay, and TPA</w:t>
      </w:r>
      <w:r>
        <w:rPr>
          <w:spacing w:val="-7"/>
          <w:sz w:val="22"/>
        </w:rPr>
        <w:t> </w:t>
      </w:r>
      <w:r>
        <w:rPr>
          <w:sz w:val="22"/>
        </w:rPr>
        <w:t>shall</w:t>
      </w:r>
      <w:r>
        <w:rPr>
          <w:spacing w:val="-6"/>
          <w:sz w:val="22"/>
        </w:rPr>
        <w:t> </w:t>
      </w:r>
      <w:r>
        <w:rPr>
          <w:sz w:val="22"/>
        </w:rPr>
        <w:t>accept</w:t>
      </w:r>
      <w:r>
        <w:rPr>
          <w:spacing w:val="-3"/>
          <w:sz w:val="22"/>
        </w:rPr>
        <w:t> </w:t>
      </w:r>
      <w:r>
        <w:rPr>
          <w:sz w:val="22"/>
        </w:rPr>
        <w:t>in</w:t>
      </w:r>
      <w:r>
        <w:rPr>
          <w:spacing w:val="-9"/>
          <w:sz w:val="22"/>
        </w:rPr>
        <w:t> </w:t>
      </w:r>
      <w:r>
        <w:rPr>
          <w:sz w:val="22"/>
        </w:rPr>
        <w:t>full,</w:t>
      </w:r>
      <w:r>
        <w:rPr>
          <w:spacing w:val="-4"/>
          <w:sz w:val="22"/>
        </w:rPr>
        <w:t> </w:t>
      </w:r>
      <w:r>
        <w:rPr>
          <w:sz w:val="22"/>
        </w:rPr>
        <w:t>an</w:t>
      </w:r>
      <w:r>
        <w:rPr>
          <w:spacing w:val="-3"/>
          <w:sz w:val="22"/>
        </w:rPr>
        <w:t> </w:t>
      </w:r>
      <w:r>
        <w:rPr>
          <w:sz w:val="22"/>
        </w:rPr>
        <w:t>amount</w:t>
      </w:r>
      <w:r>
        <w:rPr>
          <w:spacing w:val="-5"/>
          <w:sz w:val="22"/>
        </w:rPr>
        <w:t> </w:t>
      </w:r>
      <w:r>
        <w:rPr>
          <w:sz w:val="22"/>
        </w:rPr>
        <w:t>not</w:t>
      </w:r>
      <w:r>
        <w:rPr>
          <w:spacing w:val="-7"/>
          <w:sz w:val="22"/>
        </w:rPr>
        <w:t> </w:t>
      </w:r>
      <w:r>
        <w:rPr>
          <w:sz w:val="22"/>
        </w:rPr>
        <w:t>to exceed</w:t>
      </w:r>
      <w:r>
        <w:rPr>
          <w:spacing w:val="-5"/>
          <w:sz w:val="22"/>
        </w:rPr>
        <w:t> </w:t>
      </w:r>
      <w:r>
        <w:rPr>
          <w:sz w:val="22"/>
        </w:rPr>
        <w:t>the</w:t>
      </w:r>
      <w:r>
        <w:rPr>
          <w:spacing w:val="-1"/>
          <w:sz w:val="22"/>
        </w:rPr>
        <w:t> </w:t>
      </w:r>
      <w:r>
        <w:rPr>
          <w:sz w:val="22"/>
        </w:rPr>
        <w:t>sum</w:t>
      </w:r>
      <w:r>
        <w:rPr>
          <w:spacing w:val="-2"/>
          <w:sz w:val="22"/>
        </w:rPr>
        <w:t> </w:t>
      </w:r>
      <w:r>
        <w:rPr>
          <w:sz w:val="22"/>
        </w:rPr>
        <w:t>of </w:t>
      </w:r>
      <w:r>
        <w:rPr>
          <w:b/>
          <w:sz w:val="22"/>
        </w:rPr>
        <w:t>$</w:t>
      </w:r>
      <w:r>
        <w:rPr>
          <w:b/>
          <w:sz w:val="22"/>
          <w:u w:val="single"/>
        </w:rPr>
        <w:t> </w:t>
        <w:tab/>
      </w:r>
      <w:r>
        <w:rPr>
          <w:sz w:val="22"/>
        </w:rPr>
        <w:t>. Any breach </w:t>
      </w:r>
      <w:r>
        <w:rPr>
          <w:spacing w:val="-9"/>
          <w:sz w:val="22"/>
        </w:rPr>
        <w:t>of </w:t>
      </w:r>
      <w:r>
        <w:rPr>
          <w:sz w:val="22"/>
        </w:rPr>
        <w:t>this Agreement shall relieve CITY from the obligation to pay TPA, if TPA has not corrected the</w:t>
      </w:r>
      <w:r>
        <w:rPr>
          <w:spacing w:val="-11"/>
          <w:sz w:val="22"/>
        </w:rPr>
        <w:t> </w:t>
      </w:r>
      <w:r>
        <w:rPr>
          <w:sz w:val="22"/>
        </w:rPr>
        <w:t>breach</w:t>
      </w:r>
      <w:r>
        <w:rPr>
          <w:spacing w:val="-10"/>
          <w:sz w:val="22"/>
        </w:rPr>
        <w:t> </w:t>
      </w:r>
      <w:r>
        <w:rPr>
          <w:sz w:val="22"/>
        </w:rPr>
        <w:t>within</w:t>
      </w:r>
      <w:r>
        <w:rPr>
          <w:spacing w:val="-9"/>
          <w:sz w:val="22"/>
        </w:rPr>
        <w:t> </w:t>
      </w:r>
      <w:r>
        <w:rPr>
          <w:sz w:val="22"/>
        </w:rPr>
        <w:t>a</w:t>
      </w:r>
      <w:r>
        <w:rPr>
          <w:spacing w:val="-10"/>
          <w:sz w:val="22"/>
        </w:rPr>
        <w:t> </w:t>
      </w:r>
      <w:r>
        <w:rPr>
          <w:sz w:val="22"/>
        </w:rPr>
        <w:t>reasonable</w:t>
      </w:r>
      <w:r>
        <w:rPr>
          <w:spacing w:val="-10"/>
          <w:sz w:val="22"/>
        </w:rPr>
        <w:t> </w:t>
      </w:r>
      <w:r>
        <w:rPr>
          <w:sz w:val="22"/>
        </w:rPr>
        <w:t>time</w:t>
      </w:r>
      <w:r>
        <w:rPr>
          <w:spacing w:val="-9"/>
          <w:sz w:val="22"/>
        </w:rPr>
        <w:t> </w:t>
      </w:r>
      <w:r>
        <w:rPr>
          <w:sz w:val="22"/>
        </w:rPr>
        <w:t>after</w:t>
      </w:r>
      <w:r>
        <w:rPr>
          <w:spacing w:val="-9"/>
          <w:sz w:val="22"/>
        </w:rPr>
        <w:t> </w:t>
      </w:r>
      <w:r>
        <w:rPr>
          <w:sz w:val="22"/>
        </w:rPr>
        <w:t>CITY</w:t>
      </w:r>
      <w:r>
        <w:rPr>
          <w:spacing w:val="-12"/>
          <w:sz w:val="22"/>
        </w:rPr>
        <w:t> </w:t>
      </w:r>
      <w:r>
        <w:rPr>
          <w:sz w:val="22"/>
        </w:rPr>
        <w:t>provides</w:t>
      </w:r>
      <w:r>
        <w:rPr>
          <w:spacing w:val="-9"/>
          <w:sz w:val="22"/>
        </w:rPr>
        <w:t> </w:t>
      </w:r>
      <w:r>
        <w:rPr>
          <w:sz w:val="22"/>
        </w:rPr>
        <w:t>notice.</w:t>
      </w:r>
      <w:r>
        <w:rPr>
          <w:spacing w:val="42"/>
          <w:sz w:val="22"/>
        </w:rPr>
        <w:t> </w:t>
      </w:r>
      <w:r>
        <w:rPr>
          <w:sz w:val="22"/>
        </w:rPr>
        <w:t>If</w:t>
      </w:r>
      <w:r>
        <w:rPr>
          <w:spacing w:val="-10"/>
          <w:sz w:val="22"/>
        </w:rPr>
        <w:t> </w:t>
      </w:r>
      <w:r>
        <w:rPr>
          <w:sz w:val="22"/>
        </w:rPr>
        <w:t>this</w:t>
      </w:r>
      <w:r>
        <w:rPr>
          <w:spacing w:val="-11"/>
          <w:sz w:val="22"/>
        </w:rPr>
        <w:t> </w:t>
      </w:r>
      <w:r>
        <w:rPr>
          <w:sz w:val="22"/>
        </w:rPr>
        <w:t>Agreement</w:t>
      </w:r>
      <w:r>
        <w:rPr>
          <w:spacing w:val="-10"/>
          <w:sz w:val="22"/>
        </w:rPr>
        <w:t> </w:t>
      </w:r>
      <w:r>
        <w:rPr>
          <w:sz w:val="22"/>
        </w:rPr>
        <w:t>is</w:t>
      </w:r>
      <w:r>
        <w:rPr>
          <w:spacing w:val="-10"/>
          <w:sz w:val="22"/>
        </w:rPr>
        <w:t> </w:t>
      </w:r>
      <w:r>
        <w:rPr>
          <w:sz w:val="22"/>
        </w:rPr>
        <w:t>amended at any time, additional compensation of TPA contained in any subsequent amendment shall not</w:t>
      </w:r>
      <w:r>
        <w:rPr>
          <w:spacing w:val="-2"/>
          <w:sz w:val="22"/>
        </w:rPr>
        <w:t> </w:t>
      </w:r>
      <w:r>
        <w:rPr>
          <w:sz w:val="22"/>
        </w:rPr>
        <w:t>exceed</w:t>
      </w:r>
      <w:r>
        <w:rPr>
          <w:spacing w:val="-4"/>
          <w:sz w:val="22"/>
        </w:rPr>
        <w:t> </w:t>
      </w:r>
      <w:r>
        <w:rPr>
          <w:sz w:val="22"/>
        </w:rPr>
        <w:t>a</w:t>
      </w:r>
      <w:r>
        <w:rPr>
          <w:spacing w:val="-4"/>
          <w:sz w:val="22"/>
        </w:rPr>
        <w:t> </w:t>
      </w:r>
      <w:r>
        <w:rPr>
          <w:sz w:val="22"/>
        </w:rPr>
        <w:t>cumulative</w:t>
      </w:r>
      <w:r>
        <w:rPr>
          <w:spacing w:val="-4"/>
          <w:sz w:val="22"/>
        </w:rPr>
        <w:t> </w:t>
      </w:r>
      <w:r>
        <w:rPr>
          <w:sz w:val="22"/>
        </w:rPr>
        <w:t>total</w:t>
      </w:r>
      <w:r>
        <w:rPr>
          <w:spacing w:val="-4"/>
          <w:sz w:val="22"/>
        </w:rPr>
        <w:t> </w:t>
      </w:r>
      <w:r>
        <w:rPr>
          <w:sz w:val="22"/>
        </w:rPr>
        <w:t>of</w:t>
      </w:r>
      <w:r>
        <w:rPr>
          <w:spacing w:val="-2"/>
          <w:sz w:val="22"/>
        </w:rPr>
        <w:t> </w:t>
      </w:r>
      <w:r>
        <w:rPr>
          <w:sz w:val="22"/>
        </w:rPr>
        <w:t>25%</w:t>
      </w:r>
      <w:r>
        <w:rPr>
          <w:spacing w:val="-2"/>
          <w:sz w:val="22"/>
        </w:rPr>
        <w:t> </w:t>
      </w:r>
      <w:r>
        <w:rPr>
          <w:sz w:val="22"/>
        </w:rPr>
        <w:t>of</w:t>
      </w:r>
      <w:r>
        <w:rPr>
          <w:spacing w:val="-4"/>
          <w:sz w:val="22"/>
        </w:rPr>
        <w:t> </w:t>
      </w:r>
      <w:r>
        <w:rPr>
          <w:sz w:val="22"/>
        </w:rPr>
        <w:t>the</w:t>
      </w:r>
      <w:r>
        <w:rPr>
          <w:spacing w:val="-4"/>
          <w:sz w:val="22"/>
        </w:rPr>
        <w:t> </w:t>
      </w:r>
      <w:r>
        <w:rPr>
          <w:sz w:val="22"/>
        </w:rPr>
        <w:t>maximum</w:t>
      </w:r>
      <w:r>
        <w:rPr>
          <w:spacing w:val="-3"/>
          <w:sz w:val="22"/>
        </w:rPr>
        <w:t> </w:t>
      </w:r>
      <w:r>
        <w:rPr>
          <w:sz w:val="22"/>
        </w:rPr>
        <w:t>payment</w:t>
      </w:r>
      <w:r>
        <w:rPr>
          <w:spacing w:val="-2"/>
          <w:sz w:val="22"/>
        </w:rPr>
        <w:t> </w:t>
      </w:r>
      <w:r>
        <w:rPr>
          <w:sz w:val="22"/>
        </w:rPr>
        <w:t>provided</w:t>
      </w:r>
      <w:r>
        <w:rPr>
          <w:spacing w:val="-4"/>
          <w:sz w:val="22"/>
        </w:rPr>
        <w:t> </w:t>
      </w:r>
      <w:r>
        <w:rPr>
          <w:sz w:val="22"/>
        </w:rPr>
        <w:t>for</w:t>
      </w:r>
      <w:r>
        <w:rPr>
          <w:spacing w:val="-3"/>
          <w:sz w:val="22"/>
        </w:rPr>
        <w:t> </w:t>
      </w:r>
      <w:r>
        <w:rPr>
          <w:sz w:val="22"/>
        </w:rPr>
        <w:t>in</w:t>
      </w:r>
      <w:r>
        <w:rPr>
          <w:spacing w:val="-5"/>
          <w:sz w:val="22"/>
        </w:rPr>
        <w:t> </w:t>
      </w:r>
      <w:r>
        <w:rPr>
          <w:sz w:val="22"/>
        </w:rPr>
        <w:t>this</w:t>
      </w:r>
      <w:r>
        <w:rPr>
          <w:spacing w:val="-4"/>
          <w:sz w:val="22"/>
        </w:rPr>
        <w:t> </w:t>
      </w:r>
      <w:r>
        <w:rPr>
          <w:sz w:val="22"/>
        </w:rPr>
        <w:t>Section</w:t>
      </w:r>
      <w:r>
        <w:rPr>
          <w:spacing w:val="-4"/>
          <w:sz w:val="22"/>
        </w:rPr>
        <w:t> </w:t>
      </w:r>
      <w:r>
        <w:rPr>
          <w:sz w:val="22"/>
        </w:rPr>
        <w:t>2, unless approved by resolution of the City</w:t>
      </w:r>
      <w:r>
        <w:rPr>
          <w:spacing w:val="-4"/>
          <w:sz w:val="22"/>
        </w:rPr>
        <w:t> </w:t>
      </w:r>
      <w:r>
        <w:rPr>
          <w:sz w:val="22"/>
        </w:rPr>
        <w:t>Council.</w:t>
      </w:r>
    </w:p>
    <w:p>
      <w:pPr>
        <w:spacing w:after="0" w:line="228" w:lineRule="auto"/>
        <w:jc w:val="both"/>
        <w:rPr>
          <w:sz w:val="22"/>
        </w:rPr>
        <w:sectPr>
          <w:pgSz w:w="12240" w:h="15840"/>
          <w:pgMar w:header="0" w:footer="1168" w:top="740" w:bottom="1440" w:left="960" w:right="960"/>
        </w:sectPr>
      </w:pPr>
    </w:p>
    <w:p>
      <w:pPr>
        <w:pStyle w:val="ListParagraph"/>
        <w:numPr>
          <w:ilvl w:val="0"/>
          <w:numId w:val="6"/>
        </w:numPr>
        <w:tabs>
          <w:tab w:pos="840" w:val="left" w:leader="none"/>
        </w:tabs>
        <w:spacing w:line="228" w:lineRule="auto" w:before="87" w:after="0"/>
        <w:ind w:left="840" w:right="482" w:hanging="360"/>
        <w:jc w:val="both"/>
        <w:rPr>
          <w:sz w:val="22"/>
        </w:rPr>
      </w:pPr>
      <w:r>
        <w:rPr/>
        <w:pict>
          <v:group style="position:absolute;margin-left:26.160002pt;margin-top:26.160002pt;width:561.85pt;height:741.85pt;mso-position-horizontal-relative:page;mso-position-vertical-relative:page;z-index:-253959168" coordorigin="523,523" coordsize="11237,14837">
            <v:line style="position:absolute" from="523,545" to="11674,545" stroked="true" strokeweight="2.159998pt" strokecolor="#000000">
              <v:stroke dashstyle="solid"/>
            </v:line>
            <v:rect style="position:absolute;left:11673;top:523;width:44;height:44" filled="true" fillcolor="#000000" stroked="false">
              <v:fill type="solid"/>
            </v:rect>
            <v:line style="position:absolute" from="545,566" to="545,15317" stroked="true" strokeweight="2.159998pt" strokecolor="#000000">
              <v:stroke dashstyle="solid"/>
            </v:line>
            <v:line style="position:absolute" from="11717,566" to="11717,15274" stroked="true" strokeweight="4.320008pt" strokecolor="#000000">
              <v:stroke dashstyle="solid"/>
            </v:line>
            <v:line style="position:absolute" from="566,15317" to="11674,15317" stroked="true" strokeweight="4.320008pt" strokecolor="#000000">
              <v:stroke dashstyle="solid"/>
            </v:line>
            <v:shape style="position:absolute;left:11673;top:15273;width:87;height:87" coordorigin="11674,15274" coordsize="87,87" path="m11760,15274l11717,15274,11674,15274,11674,15317,11674,15360,11717,15360,11760,15360,11760,15317,11760,15274e" filled="true" fillcolor="#000000" stroked="false">
              <v:path arrowok="t"/>
              <v:fill type="solid"/>
            </v:shape>
            <w10:wrap type="none"/>
          </v:group>
        </w:pict>
      </w:r>
      <w:r>
        <w:rPr>
          <w:rFonts w:ascii="Times New Roman" w:hAnsi="Times New Roman"/>
          <w:spacing w:val="-55"/>
          <w:w w:val="100"/>
          <w:sz w:val="22"/>
          <w:u w:val="single"/>
        </w:rPr>
        <w:t> </w:t>
      </w:r>
      <w:r>
        <w:rPr>
          <w:sz w:val="22"/>
          <w:u w:val="single"/>
        </w:rPr>
        <w:t>Scope of Compensation</w:t>
      </w:r>
      <w:r>
        <w:rPr>
          <w:sz w:val="22"/>
        </w:rPr>
        <w:t>. TPA shall be compensated only for performance of the Services as described in this Agreement. No compensation shall be provided for any other work or services without the CITY’s prior written</w:t>
      </w:r>
      <w:r>
        <w:rPr>
          <w:spacing w:val="1"/>
          <w:sz w:val="22"/>
        </w:rPr>
        <w:t> </w:t>
      </w:r>
      <w:r>
        <w:rPr>
          <w:sz w:val="22"/>
        </w:rPr>
        <w:t>consent.</w:t>
      </w:r>
    </w:p>
    <w:p>
      <w:pPr>
        <w:pStyle w:val="BodyText"/>
        <w:spacing w:before="9"/>
        <w:rPr>
          <w:sz w:val="20"/>
        </w:rPr>
      </w:pPr>
    </w:p>
    <w:p>
      <w:pPr>
        <w:pStyle w:val="ListParagraph"/>
        <w:numPr>
          <w:ilvl w:val="0"/>
          <w:numId w:val="6"/>
        </w:numPr>
        <w:tabs>
          <w:tab w:pos="840" w:val="left" w:leader="none"/>
        </w:tabs>
        <w:spacing w:line="228" w:lineRule="auto" w:before="0" w:after="0"/>
        <w:ind w:left="840" w:right="481" w:hanging="360"/>
        <w:jc w:val="both"/>
        <w:rPr>
          <w:sz w:val="22"/>
        </w:rPr>
      </w:pPr>
      <w:r>
        <w:rPr>
          <w:rFonts w:ascii="Times New Roman"/>
          <w:spacing w:val="-55"/>
          <w:w w:val="100"/>
          <w:sz w:val="22"/>
          <w:u w:val="single"/>
        </w:rPr>
        <w:t> </w:t>
      </w:r>
      <w:r>
        <w:rPr>
          <w:sz w:val="22"/>
          <w:u w:val="single"/>
        </w:rPr>
        <w:t>Performance</w:t>
      </w:r>
      <w:r>
        <w:rPr>
          <w:sz w:val="22"/>
        </w:rPr>
        <w:t>. TPA shall faithfully perform the Services in a proficient manner, to the satisfaction of the CITY, and in accord with the terms of this Agreement. TPA shall be responsible for the professional quality, technical accuracy, timely completion, and coordination</w:t>
      </w:r>
      <w:r>
        <w:rPr>
          <w:spacing w:val="-11"/>
          <w:sz w:val="22"/>
        </w:rPr>
        <w:t> </w:t>
      </w:r>
      <w:r>
        <w:rPr>
          <w:sz w:val="22"/>
        </w:rPr>
        <w:t>of</w:t>
      </w:r>
      <w:r>
        <w:rPr>
          <w:spacing w:val="-11"/>
          <w:sz w:val="22"/>
        </w:rPr>
        <w:t> </w:t>
      </w:r>
      <w:r>
        <w:rPr>
          <w:sz w:val="22"/>
        </w:rPr>
        <w:t>all</w:t>
      </w:r>
      <w:r>
        <w:rPr>
          <w:spacing w:val="-13"/>
          <w:sz w:val="22"/>
        </w:rPr>
        <w:t> </w:t>
      </w:r>
      <w:r>
        <w:rPr>
          <w:sz w:val="22"/>
        </w:rPr>
        <w:t>reports</w:t>
      </w:r>
      <w:r>
        <w:rPr>
          <w:spacing w:val="-13"/>
          <w:sz w:val="22"/>
        </w:rPr>
        <w:t> </w:t>
      </w:r>
      <w:r>
        <w:rPr>
          <w:sz w:val="22"/>
        </w:rPr>
        <w:t>and</w:t>
      </w:r>
      <w:r>
        <w:rPr>
          <w:spacing w:val="-11"/>
          <w:sz w:val="22"/>
        </w:rPr>
        <w:t> </w:t>
      </w:r>
      <w:r>
        <w:rPr>
          <w:sz w:val="22"/>
        </w:rPr>
        <w:t>other</w:t>
      </w:r>
      <w:r>
        <w:rPr>
          <w:spacing w:val="-9"/>
          <w:sz w:val="22"/>
        </w:rPr>
        <w:t> </w:t>
      </w:r>
      <w:r>
        <w:rPr>
          <w:sz w:val="22"/>
        </w:rPr>
        <w:t>information</w:t>
      </w:r>
      <w:r>
        <w:rPr>
          <w:spacing w:val="-14"/>
          <w:sz w:val="22"/>
        </w:rPr>
        <w:t> </w:t>
      </w:r>
      <w:r>
        <w:rPr>
          <w:sz w:val="22"/>
        </w:rPr>
        <w:t>furnished</w:t>
      </w:r>
      <w:r>
        <w:rPr>
          <w:spacing w:val="-12"/>
          <w:sz w:val="22"/>
        </w:rPr>
        <w:t> </w:t>
      </w:r>
      <w:r>
        <w:rPr>
          <w:sz w:val="22"/>
        </w:rPr>
        <w:t>by</w:t>
      </w:r>
      <w:r>
        <w:rPr>
          <w:spacing w:val="-12"/>
          <w:sz w:val="22"/>
        </w:rPr>
        <w:t> </w:t>
      </w:r>
      <w:r>
        <w:rPr>
          <w:sz w:val="22"/>
        </w:rPr>
        <w:t>TPA</w:t>
      </w:r>
      <w:r>
        <w:rPr>
          <w:spacing w:val="-12"/>
          <w:sz w:val="22"/>
        </w:rPr>
        <w:t> </w:t>
      </w:r>
      <w:r>
        <w:rPr>
          <w:sz w:val="22"/>
        </w:rPr>
        <w:t>pursuant</w:t>
      </w:r>
      <w:r>
        <w:rPr>
          <w:spacing w:val="-11"/>
          <w:sz w:val="22"/>
        </w:rPr>
        <w:t> </w:t>
      </w:r>
      <w:r>
        <w:rPr>
          <w:sz w:val="22"/>
        </w:rPr>
        <w:t>to</w:t>
      </w:r>
      <w:r>
        <w:rPr>
          <w:spacing w:val="-12"/>
          <w:sz w:val="22"/>
        </w:rPr>
        <w:t> </w:t>
      </w:r>
      <w:r>
        <w:rPr>
          <w:sz w:val="22"/>
        </w:rPr>
        <w:t>this</w:t>
      </w:r>
      <w:r>
        <w:rPr>
          <w:spacing w:val="-11"/>
          <w:sz w:val="22"/>
        </w:rPr>
        <w:t> </w:t>
      </w:r>
      <w:r>
        <w:rPr>
          <w:sz w:val="22"/>
        </w:rPr>
        <w:t>Agreement, except</w:t>
      </w:r>
      <w:r>
        <w:rPr>
          <w:spacing w:val="-7"/>
          <w:sz w:val="22"/>
        </w:rPr>
        <w:t> </w:t>
      </w:r>
      <w:r>
        <w:rPr>
          <w:sz w:val="22"/>
        </w:rPr>
        <w:t>that</w:t>
      </w:r>
      <w:r>
        <w:rPr>
          <w:spacing w:val="-11"/>
          <w:sz w:val="22"/>
        </w:rPr>
        <w:t> </w:t>
      </w:r>
      <w:r>
        <w:rPr>
          <w:sz w:val="22"/>
        </w:rPr>
        <w:t>TPA</w:t>
      </w:r>
      <w:r>
        <w:rPr>
          <w:spacing w:val="-11"/>
          <w:sz w:val="22"/>
        </w:rPr>
        <w:t> </w:t>
      </w:r>
      <w:r>
        <w:rPr>
          <w:sz w:val="22"/>
        </w:rPr>
        <w:t>shall</w:t>
      </w:r>
      <w:r>
        <w:rPr>
          <w:spacing w:val="-11"/>
          <w:sz w:val="22"/>
        </w:rPr>
        <w:t> </w:t>
      </w:r>
      <w:r>
        <w:rPr>
          <w:sz w:val="22"/>
        </w:rPr>
        <w:t>not</w:t>
      </w:r>
      <w:r>
        <w:rPr>
          <w:spacing w:val="-10"/>
          <w:sz w:val="22"/>
        </w:rPr>
        <w:t> </w:t>
      </w:r>
      <w:r>
        <w:rPr>
          <w:sz w:val="22"/>
        </w:rPr>
        <w:t>be</w:t>
      </w:r>
      <w:r>
        <w:rPr>
          <w:spacing w:val="-10"/>
          <w:sz w:val="22"/>
        </w:rPr>
        <w:t> </w:t>
      </w:r>
      <w:r>
        <w:rPr>
          <w:sz w:val="22"/>
        </w:rPr>
        <w:t>responsible</w:t>
      </w:r>
      <w:r>
        <w:rPr>
          <w:spacing w:val="-13"/>
          <w:sz w:val="22"/>
        </w:rPr>
        <w:t> </w:t>
      </w:r>
      <w:r>
        <w:rPr>
          <w:sz w:val="22"/>
        </w:rPr>
        <w:t>for</w:t>
      </w:r>
      <w:r>
        <w:rPr>
          <w:spacing w:val="-11"/>
          <w:sz w:val="22"/>
        </w:rPr>
        <w:t> </w:t>
      </w:r>
      <w:r>
        <w:rPr>
          <w:sz w:val="22"/>
        </w:rPr>
        <w:t>the</w:t>
      </w:r>
      <w:r>
        <w:rPr>
          <w:spacing w:val="-9"/>
          <w:sz w:val="22"/>
        </w:rPr>
        <w:t> </w:t>
      </w:r>
      <w:r>
        <w:rPr>
          <w:sz w:val="22"/>
        </w:rPr>
        <w:t>accuracy</w:t>
      </w:r>
      <w:r>
        <w:rPr>
          <w:spacing w:val="-11"/>
          <w:sz w:val="22"/>
        </w:rPr>
        <w:t> </w:t>
      </w:r>
      <w:r>
        <w:rPr>
          <w:sz w:val="22"/>
        </w:rPr>
        <w:t>of</w:t>
      </w:r>
      <w:r>
        <w:rPr>
          <w:spacing w:val="-7"/>
          <w:sz w:val="22"/>
        </w:rPr>
        <w:t> </w:t>
      </w:r>
      <w:r>
        <w:rPr>
          <w:sz w:val="22"/>
        </w:rPr>
        <w:t>information</w:t>
      </w:r>
      <w:r>
        <w:rPr>
          <w:spacing w:val="-10"/>
          <w:sz w:val="22"/>
        </w:rPr>
        <w:t> </w:t>
      </w:r>
      <w:r>
        <w:rPr>
          <w:sz w:val="22"/>
        </w:rPr>
        <w:t>supplied</w:t>
      </w:r>
      <w:r>
        <w:rPr>
          <w:spacing w:val="-10"/>
          <w:sz w:val="22"/>
        </w:rPr>
        <w:t> </w:t>
      </w:r>
      <w:r>
        <w:rPr>
          <w:sz w:val="22"/>
        </w:rPr>
        <w:t>by</w:t>
      </w:r>
      <w:r>
        <w:rPr>
          <w:spacing w:val="-12"/>
          <w:sz w:val="22"/>
        </w:rPr>
        <w:t> </w:t>
      </w:r>
      <w:r>
        <w:rPr>
          <w:sz w:val="22"/>
        </w:rPr>
        <w:t>the</w:t>
      </w:r>
      <w:r>
        <w:rPr>
          <w:spacing w:val="-10"/>
          <w:sz w:val="22"/>
        </w:rPr>
        <w:t> </w:t>
      </w:r>
      <w:r>
        <w:rPr>
          <w:sz w:val="22"/>
        </w:rPr>
        <w:t>CITY.</w:t>
      </w:r>
    </w:p>
    <w:p>
      <w:pPr>
        <w:pStyle w:val="BodyText"/>
        <w:spacing w:before="8"/>
        <w:rPr>
          <w:sz w:val="20"/>
        </w:rPr>
      </w:pPr>
    </w:p>
    <w:p>
      <w:pPr>
        <w:pStyle w:val="ListParagraph"/>
        <w:numPr>
          <w:ilvl w:val="0"/>
          <w:numId w:val="6"/>
        </w:numPr>
        <w:tabs>
          <w:tab w:pos="840" w:val="left" w:leader="none"/>
        </w:tabs>
        <w:spacing w:line="228" w:lineRule="auto" w:before="0" w:after="0"/>
        <w:ind w:left="840" w:right="480" w:hanging="360"/>
        <w:jc w:val="both"/>
        <w:rPr>
          <w:sz w:val="22"/>
        </w:rPr>
      </w:pPr>
      <w:r>
        <w:rPr>
          <w:rFonts w:ascii="Times New Roman" w:hAnsi="Times New Roman"/>
          <w:spacing w:val="-55"/>
          <w:w w:val="100"/>
          <w:sz w:val="22"/>
          <w:u w:val="single"/>
        </w:rPr>
        <w:t> </w:t>
      </w:r>
      <w:r>
        <w:rPr>
          <w:sz w:val="22"/>
          <w:u w:val="single"/>
        </w:rPr>
        <w:t>Personnel</w:t>
      </w:r>
      <w:r>
        <w:rPr>
          <w:sz w:val="22"/>
        </w:rPr>
        <w:t>. The performance of the Services by certain professionals is significant to the CITY. As such, TPA shall only assign the persons listed on </w:t>
      </w:r>
      <w:r>
        <w:rPr>
          <w:sz w:val="22"/>
          <w:u w:val="single"/>
        </w:rPr>
        <w:t>Attachment “B”</w:t>
      </w:r>
      <w:r>
        <w:rPr>
          <w:sz w:val="22"/>
        </w:rPr>
        <w:t>, attached to this Agreement and incorporated herein by this reference (“Personnel List”), to perform the Services. TPA shall not add or remove persons from the Personnel List without the City’s prior written consent. If TPA has not designated a person to perform a component of the Services,</w:t>
      </w:r>
      <w:r>
        <w:rPr>
          <w:spacing w:val="-5"/>
          <w:sz w:val="22"/>
        </w:rPr>
        <w:t> </w:t>
      </w:r>
      <w:r>
        <w:rPr>
          <w:sz w:val="22"/>
        </w:rPr>
        <w:t>TPA</w:t>
      </w:r>
      <w:r>
        <w:rPr>
          <w:spacing w:val="-4"/>
          <w:sz w:val="22"/>
        </w:rPr>
        <w:t> </w:t>
      </w:r>
      <w:r>
        <w:rPr>
          <w:sz w:val="22"/>
        </w:rPr>
        <w:t>shall</w:t>
      </w:r>
      <w:r>
        <w:rPr>
          <w:spacing w:val="-4"/>
          <w:sz w:val="22"/>
        </w:rPr>
        <w:t> </w:t>
      </w:r>
      <w:r>
        <w:rPr>
          <w:sz w:val="22"/>
        </w:rPr>
        <w:t>not</w:t>
      </w:r>
      <w:r>
        <w:rPr>
          <w:spacing w:val="-4"/>
          <w:sz w:val="22"/>
        </w:rPr>
        <w:t> </w:t>
      </w:r>
      <w:r>
        <w:rPr>
          <w:sz w:val="22"/>
        </w:rPr>
        <w:t>assign</w:t>
      </w:r>
      <w:r>
        <w:rPr>
          <w:spacing w:val="-6"/>
          <w:sz w:val="22"/>
        </w:rPr>
        <w:t> </w:t>
      </w:r>
      <w:r>
        <w:rPr>
          <w:sz w:val="22"/>
        </w:rPr>
        <w:t>such</w:t>
      </w:r>
      <w:r>
        <w:rPr>
          <w:spacing w:val="-8"/>
          <w:sz w:val="22"/>
        </w:rPr>
        <w:t> </w:t>
      </w:r>
      <w:r>
        <w:rPr>
          <w:sz w:val="22"/>
        </w:rPr>
        <w:t>component</w:t>
      </w:r>
      <w:r>
        <w:rPr>
          <w:spacing w:val="-4"/>
          <w:sz w:val="22"/>
        </w:rPr>
        <w:t> </w:t>
      </w:r>
      <w:r>
        <w:rPr>
          <w:sz w:val="22"/>
        </w:rPr>
        <w:t>of</w:t>
      </w:r>
      <w:r>
        <w:rPr>
          <w:spacing w:val="-2"/>
          <w:sz w:val="22"/>
        </w:rPr>
        <w:t> </w:t>
      </w:r>
      <w:r>
        <w:rPr>
          <w:sz w:val="22"/>
        </w:rPr>
        <w:t>the</w:t>
      </w:r>
      <w:r>
        <w:rPr>
          <w:spacing w:val="-5"/>
          <w:sz w:val="22"/>
        </w:rPr>
        <w:t> </w:t>
      </w:r>
      <w:r>
        <w:rPr>
          <w:sz w:val="22"/>
        </w:rPr>
        <w:t>Services</w:t>
      </w:r>
      <w:r>
        <w:rPr>
          <w:spacing w:val="-4"/>
          <w:sz w:val="22"/>
        </w:rPr>
        <w:t> </w:t>
      </w:r>
      <w:r>
        <w:rPr>
          <w:sz w:val="22"/>
        </w:rPr>
        <w:t>to</w:t>
      </w:r>
      <w:r>
        <w:rPr>
          <w:spacing w:val="-9"/>
          <w:sz w:val="22"/>
        </w:rPr>
        <w:t> </w:t>
      </w:r>
      <w:r>
        <w:rPr>
          <w:sz w:val="22"/>
        </w:rPr>
        <w:t>a</w:t>
      </w:r>
      <w:r>
        <w:rPr>
          <w:spacing w:val="-5"/>
          <w:sz w:val="22"/>
        </w:rPr>
        <w:t> </w:t>
      </w:r>
      <w:r>
        <w:rPr>
          <w:sz w:val="22"/>
        </w:rPr>
        <w:t>person</w:t>
      </w:r>
      <w:r>
        <w:rPr>
          <w:spacing w:val="-6"/>
          <w:sz w:val="22"/>
        </w:rPr>
        <w:t> </w:t>
      </w:r>
      <w:r>
        <w:rPr>
          <w:sz w:val="22"/>
        </w:rPr>
        <w:t>without</w:t>
      </w:r>
      <w:r>
        <w:rPr>
          <w:spacing w:val="-1"/>
          <w:sz w:val="22"/>
        </w:rPr>
        <w:t> </w:t>
      </w:r>
      <w:r>
        <w:rPr>
          <w:sz w:val="22"/>
        </w:rPr>
        <w:t>obtaining the City’s prior written consent. TPA shall not subcontract any component of the Services without obtaining the City’s prior written consent.</w:t>
      </w:r>
    </w:p>
    <w:p>
      <w:pPr>
        <w:pStyle w:val="BodyText"/>
        <w:spacing w:before="7"/>
        <w:rPr>
          <w:sz w:val="20"/>
        </w:rPr>
      </w:pPr>
    </w:p>
    <w:p>
      <w:pPr>
        <w:pStyle w:val="ListParagraph"/>
        <w:numPr>
          <w:ilvl w:val="0"/>
          <w:numId w:val="6"/>
        </w:numPr>
        <w:tabs>
          <w:tab w:pos="840" w:val="left" w:leader="none"/>
        </w:tabs>
        <w:spacing w:line="228" w:lineRule="auto" w:before="1" w:after="0"/>
        <w:ind w:left="840" w:right="483" w:hanging="360"/>
        <w:jc w:val="both"/>
        <w:rPr>
          <w:sz w:val="22"/>
        </w:rPr>
      </w:pPr>
      <w:r>
        <w:rPr>
          <w:rFonts w:ascii="Times New Roman" w:hAnsi="Times New Roman"/>
          <w:spacing w:val="-55"/>
          <w:w w:val="100"/>
          <w:sz w:val="22"/>
          <w:u w:val="single"/>
        </w:rPr>
        <w:t> </w:t>
      </w:r>
      <w:r>
        <w:rPr>
          <w:sz w:val="22"/>
          <w:u w:val="single"/>
        </w:rPr>
        <w:t>Termination</w:t>
      </w:r>
      <w:r>
        <w:rPr>
          <w:sz w:val="22"/>
        </w:rPr>
        <w:t>. Either the CITY or TPA may terminate this Agreement upon providing the other party with thirty (30) days’ advance written</w:t>
      </w:r>
      <w:r>
        <w:rPr>
          <w:spacing w:val="-3"/>
          <w:sz w:val="22"/>
        </w:rPr>
        <w:t> </w:t>
      </w:r>
      <w:r>
        <w:rPr>
          <w:sz w:val="22"/>
        </w:rPr>
        <w:t>notice.</w:t>
      </w:r>
    </w:p>
    <w:p>
      <w:pPr>
        <w:pStyle w:val="BodyText"/>
        <w:spacing w:before="9"/>
        <w:rPr>
          <w:sz w:val="20"/>
        </w:rPr>
      </w:pPr>
    </w:p>
    <w:p>
      <w:pPr>
        <w:pStyle w:val="ListParagraph"/>
        <w:numPr>
          <w:ilvl w:val="0"/>
          <w:numId w:val="6"/>
        </w:numPr>
        <w:tabs>
          <w:tab w:pos="840" w:val="left" w:leader="none"/>
        </w:tabs>
        <w:spacing w:line="228" w:lineRule="auto" w:before="0" w:after="0"/>
        <w:ind w:left="840" w:right="482" w:hanging="360"/>
        <w:jc w:val="both"/>
        <w:rPr>
          <w:sz w:val="22"/>
        </w:rPr>
      </w:pPr>
      <w:r>
        <w:rPr>
          <w:rFonts w:ascii="Times New Roman" w:hAnsi="Times New Roman"/>
          <w:spacing w:val="-55"/>
          <w:w w:val="100"/>
          <w:sz w:val="22"/>
          <w:u w:val="single"/>
        </w:rPr>
        <w:t> </w:t>
      </w:r>
      <w:r>
        <w:rPr>
          <w:sz w:val="22"/>
          <w:u w:val="single"/>
        </w:rPr>
        <w:t>City Property</w:t>
      </w:r>
      <w:r>
        <w:rPr>
          <w:sz w:val="22"/>
        </w:rPr>
        <w:t>. All original documents, drawings, electronic media, and other materials prepared by TPA pursuant to this Agreement immediately become the exclusive property of the</w:t>
      </w:r>
      <w:r>
        <w:rPr>
          <w:spacing w:val="-6"/>
          <w:sz w:val="22"/>
        </w:rPr>
        <w:t> </w:t>
      </w:r>
      <w:r>
        <w:rPr>
          <w:sz w:val="22"/>
        </w:rPr>
        <w:t>CITY,</w:t>
      </w:r>
      <w:r>
        <w:rPr>
          <w:spacing w:val="-3"/>
          <w:sz w:val="22"/>
        </w:rPr>
        <w:t> </w:t>
      </w:r>
      <w:r>
        <w:rPr>
          <w:sz w:val="22"/>
        </w:rPr>
        <w:t>and</w:t>
      </w:r>
      <w:r>
        <w:rPr>
          <w:spacing w:val="-5"/>
          <w:sz w:val="22"/>
        </w:rPr>
        <w:t> </w:t>
      </w:r>
      <w:r>
        <w:rPr>
          <w:sz w:val="22"/>
        </w:rPr>
        <w:t>shall</w:t>
      </w:r>
      <w:r>
        <w:rPr>
          <w:spacing w:val="-8"/>
          <w:sz w:val="22"/>
        </w:rPr>
        <w:t> </w:t>
      </w:r>
      <w:r>
        <w:rPr>
          <w:sz w:val="22"/>
        </w:rPr>
        <w:t>not</w:t>
      </w:r>
      <w:r>
        <w:rPr>
          <w:spacing w:val="-5"/>
          <w:sz w:val="22"/>
        </w:rPr>
        <w:t> </w:t>
      </w:r>
      <w:r>
        <w:rPr>
          <w:sz w:val="22"/>
        </w:rPr>
        <w:t>be</w:t>
      </w:r>
      <w:r>
        <w:rPr>
          <w:spacing w:val="-7"/>
          <w:sz w:val="22"/>
        </w:rPr>
        <w:t> </w:t>
      </w:r>
      <w:r>
        <w:rPr>
          <w:sz w:val="22"/>
        </w:rPr>
        <w:t>used</w:t>
      </w:r>
      <w:r>
        <w:rPr>
          <w:spacing w:val="-4"/>
          <w:sz w:val="22"/>
        </w:rPr>
        <w:t> </w:t>
      </w:r>
      <w:r>
        <w:rPr>
          <w:sz w:val="22"/>
        </w:rPr>
        <w:t>by</w:t>
      </w:r>
      <w:r>
        <w:rPr>
          <w:spacing w:val="-8"/>
          <w:sz w:val="22"/>
        </w:rPr>
        <w:t> </w:t>
      </w:r>
      <w:r>
        <w:rPr>
          <w:sz w:val="22"/>
        </w:rPr>
        <w:t>TPA</w:t>
      </w:r>
      <w:r>
        <w:rPr>
          <w:spacing w:val="-9"/>
          <w:sz w:val="22"/>
        </w:rPr>
        <w:t> </w:t>
      </w:r>
      <w:r>
        <w:rPr>
          <w:sz w:val="22"/>
        </w:rPr>
        <w:t>for</w:t>
      </w:r>
      <w:r>
        <w:rPr>
          <w:spacing w:val="-5"/>
          <w:sz w:val="22"/>
        </w:rPr>
        <w:t> </w:t>
      </w:r>
      <w:r>
        <w:rPr>
          <w:sz w:val="22"/>
        </w:rPr>
        <w:t>any</w:t>
      </w:r>
      <w:r>
        <w:rPr>
          <w:spacing w:val="-8"/>
          <w:sz w:val="22"/>
        </w:rPr>
        <w:t> </w:t>
      </w:r>
      <w:r>
        <w:rPr>
          <w:sz w:val="22"/>
        </w:rPr>
        <w:t>other</w:t>
      </w:r>
      <w:r>
        <w:rPr>
          <w:spacing w:val="-4"/>
          <w:sz w:val="22"/>
        </w:rPr>
        <w:t> </w:t>
      </w:r>
      <w:r>
        <w:rPr>
          <w:sz w:val="22"/>
        </w:rPr>
        <w:t>purpose</w:t>
      </w:r>
      <w:r>
        <w:rPr>
          <w:spacing w:val="-4"/>
          <w:sz w:val="22"/>
        </w:rPr>
        <w:t> </w:t>
      </w:r>
      <w:r>
        <w:rPr>
          <w:sz w:val="22"/>
        </w:rPr>
        <w:t>without</w:t>
      </w:r>
      <w:r>
        <w:rPr>
          <w:spacing w:val="-5"/>
          <w:sz w:val="22"/>
        </w:rPr>
        <w:t> </w:t>
      </w:r>
      <w:r>
        <w:rPr>
          <w:sz w:val="22"/>
        </w:rPr>
        <w:t>the</w:t>
      </w:r>
      <w:r>
        <w:rPr>
          <w:spacing w:val="-9"/>
          <w:sz w:val="22"/>
        </w:rPr>
        <w:t> </w:t>
      </w:r>
      <w:r>
        <w:rPr>
          <w:sz w:val="22"/>
        </w:rPr>
        <w:t>CITY’s</w:t>
      </w:r>
      <w:r>
        <w:rPr>
          <w:spacing w:val="-5"/>
          <w:sz w:val="22"/>
        </w:rPr>
        <w:t> </w:t>
      </w:r>
      <w:r>
        <w:rPr>
          <w:sz w:val="22"/>
        </w:rPr>
        <w:t>prior</w:t>
      </w:r>
      <w:r>
        <w:rPr>
          <w:spacing w:val="-4"/>
          <w:sz w:val="22"/>
        </w:rPr>
        <w:t> </w:t>
      </w:r>
      <w:r>
        <w:rPr>
          <w:sz w:val="22"/>
        </w:rPr>
        <w:t>written consent.</w:t>
      </w:r>
    </w:p>
    <w:p>
      <w:pPr>
        <w:pStyle w:val="BodyText"/>
        <w:spacing w:before="10"/>
        <w:rPr>
          <w:sz w:val="19"/>
        </w:rPr>
      </w:pPr>
    </w:p>
    <w:p>
      <w:pPr>
        <w:pStyle w:val="ListParagraph"/>
        <w:numPr>
          <w:ilvl w:val="0"/>
          <w:numId w:val="6"/>
        </w:numPr>
        <w:tabs>
          <w:tab w:pos="840" w:val="left" w:leader="none"/>
        </w:tabs>
        <w:spacing w:line="240" w:lineRule="auto" w:before="0" w:after="0"/>
        <w:ind w:left="840" w:right="0" w:hanging="360"/>
        <w:jc w:val="left"/>
        <w:rPr>
          <w:sz w:val="22"/>
        </w:rPr>
      </w:pPr>
      <w:r>
        <w:rPr>
          <w:rFonts w:ascii="Times New Roman"/>
          <w:spacing w:val="-55"/>
          <w:w w:val="100"/>
          <w:sz w:val="22"/>
          <w:u w:val="single"/>
        </w:rPr>
        <w:t> </w:t>
      </w:r>
      <w:r>
        <w:rPr>
          <w:sz w:val="22"/>
          <w:u w:val="single"/>
        </w:rPr>
        <w:t>Insurance</w:t>
      </w:r>
      <w:r>
        <w:rPr>
          <w:spacing w:val="-2"/>
          <w:sz w:val="22"/>
          <w:u w:val="single"/>
        </w:rPr>
        <w:t> </w:t>
      </w:r>
      <w:r>
        <w:rPr>
          <w:sz w:val="22"/>
          <w:u w:val="single"/>
        </w:rPr>
        <w:t>Requirements</w:t>
      </w:r>
      <w:r>
        <w:rPr>
          <w:sz w:val="22"/>
        </w:rPr>
        <w:t>.</w:t>
      </w:r>
    </w:p>
    <w:p>
      <w:pPr>
        <w:pStyle w:val="BodyText"/>
        <w:spacing w:before="7"/>
        <w:rPr>
          <w:sz w:val="20"/>
        </w:rPr>
      </w:pPr>
    </w:p>
    <w:p>
      <w:pPr>
        <w:pStyle w:val="ListParagraph"/>
        <w:numPr>
          <w:ilvl w:val="1"/>
          <w:numId w:val="6"/>
        </w:numPr>
        <w:tabs>
          <w:tab w:pos="1201" w:val="left" w:leader="none"/>
        </w:tabs>
        <w:spacing w:line="228" w:lineRule="auto" w:before="0" w:after="0"/>
        <w:ind w:left="1200" w:right="481" w:hanging="360"/>
        <w:jc w:val="both"/>
        <w:rPr>
          <w:sz w:val="22"/>
        </w:rPr>
      </w:pPr>
      <w:r>
        <w:rPr>
          <w:sz w:val="22"/>
        </w:rPr>
        <w:t>TPA shall procure and maintain, at its own cost, during the entire term of this</w:t>
      </w:r>
      <w:r>
        <w:rPr>
          <w:spacing w:val="-38"/>
          <w:sz w:val="22"/>
        </w:rPr>
        <w:t> </w:t>
      </w:r>
      <w:r>
        <w:rPr>
          <w:sz w:val="22"/>
        </w:rPr>
        <w:t>Agreement, insurance against claims for injuries to persons or damages to property that may arise from or in connection with the performance of the Services, and the results of such work, by TPA, its agents, representatives, employees, or subcontractors. Insurance coverage shall be at least as broad as the</w:t>
      </w:r>
      <w:r>
        <w:rPr>
          <w:spacing w:val="-4"/>
          <w:sz w:val="22"/>
        </w:rPr>
        <w:t> </w:t>
      </w:r>
      <w:r>
        <w:rPr>
          <w:sz w:val="22"/>
        </w:rPr>
        <w:t>following:</w:t>
      </w:r>
    </w:p>
    <w:p>
      <w:pPr>
        <w:pStyle w:val="ListParagraph"/>
        <w:numPr>
          <w:ilvl w:val="2"/>
          <w:numId w:val="6"/>
        </w:numPr>
        <w:tabs>
          <w:tab w:pos="1560" w:val="left" w:leader="none"/>
        </w:tabs>
        <w:spacing w:line="228" w:lineRule="auto" w:before="119" w:after="0"/>
        <w:ind w:left="1560" w:right="476" w:hanging="353"/>
        <w:jc w:val="both"/>
        <w:rPr>
          <w:sz w:val="22"/>
        </w:rPr>
      </w:pPr>
      <w:r>
        <w:rPr>
          <w:i/>
          <w:sz w:val="22"/>
        </w:rPr>
        <w:t>Commercial General Liability</w:t>
      </w:r>
      <w:r>
        <w:rPr>
          <w:sz w:val="22"/>
        </w:rPr>
        <w:t>. Insurance Services Office (“ISO”) Form CG 00 01 covering Commercial General Liability on an “occurrence” basis, including products and</w:t>
      </w:r>
      <w:r>
        <w:rPr>
          <w:spacing w:val="-7"/>
          <w:sz w:val="22"/>
        </w:rPr>
        <w:t> </w:t>
      </w:r>
      <w:r>
        <w:rPr>
          <w:sz w:val="22"/>
        </w:rPr>
        <w:t>completed</w:t>
      </w:r>
      <w:r>
        <w:rPr>
          <w:spacing w:val="-7"/>
          <w:sz w:val="22"/>
        </w:rPr>
        <w:t> </w:t>
      </w:r>
      <w:r>
        <w:rPr>
          <w:sz w:val="22"/>
        </w:rPr>
        <w:t>operations,</w:t>
      </w:r>
      <w:r>
        <w:rPr>
          <w:spacing w:val="-7"/>
          <w:sz w:val="22"/>
        </w:rPr>
        <w:t> </w:t>
      </w:r>
      <w:r>
        <w:rPr>
          <w:sz w:val="22"/>
        </w:rPr>
        <w:t>property</w:t>
      </w:r>
      <w:r>
        <w:rPr>
          <w:spacing w:val="-9"/>
          <w:sz w:val="22"/>
        </w:rPr>
        <w:t> </w:t>
      </w:r>
      <w:r>
        <w:rPr>
          <w:sz w:val="22"/>
        </w:rPr>
        <w:t>damage,</w:t>
      </w:r>
      <w:r>
        <w:rPr>
          <w:spacing w:val="-5"/>
          <w:sz w:val="22"/>
        </w:rPr>
        <w:t> </w:t>
      </w:r>
      <w:r>
        <w:rPr>
          <w:sz w:val="22"/>
        </w:rPr>
        <w:t>bodily</w:t>
      </w:r>
      <w:r>
        <w:rPr>
          <w:spacing w:val="-7"/>
          <w:sz w:val="22"/>
        </w:rPr>
        <w:t> </w:t>
      </w:r>
      <w:r>
        <w:rPr>
          <w:sz w:val="22"/>
        </w:rPr>
        <w:t>injury,</w:t>
      </w:r>
      <w:r>
        <w:rPr>
          <w:spacing w:val="-7"/>
          <w:sz w:val="22"/>
        </w:rPr>
        <w:t> </w:t>
      </w:r>
      <w:r>
        <w:rPr>
          <w:sz w:val="22"/>
        </w:rPr>
        <w:t>and</w:t>
      </w:r>
      <w:r>
        <w:rPr>
          <w:spacing w:val="-8"/>
          <w:sz w:val="22"/>
        </w:rPr>
        <w:t> </w:t>
      </w:r>
      <w:r>
        <w:rPr>
          <w:sz w:val="22"/>
        </w:rPr>
        <w:t>personal</w:t>
      </w:r>
      <w:r>
        <w:rPr>
          <w:spacing w:val="-7"/>
          <w:sz w:val="22"/>
        </w:rPr>
        <w:t> </w:t>
      </w:r>
      <w:r>
        <w:rPr>
          <w:sz w:val="22"/>
        </w:rPr>
        <w:t>&amp;</w:t>
      </w:r>
      <w:r>
        <w:rPr>
          <w:spacing w:val="-11"/>
          <w:sz w:val="22"/>
        </w:rPr>
        <w:t> </w:t>
      </w:r>
      <w:r>
        <w:rPr>
          <w:sz w:val="22"/>
        </w:rPr>
        <w:t>advertising injury, with limits no less than $2,000,000 per occurrence, $4,000,000 general aggregate.</w:t>
      </w:r>
    </w:p>
    <w:p>
      <w:pPr>
        <w:pStyle w:val="ListParagraph"/>
        <w:numPr>
          <w:ilvl w:val="2"/>
          <w:numId w:val="6"/>
        </w:numPr>
        <w:tabs>
          <w:tab w:pos="1560" w:val="left" w:leader="none"/>
        </w:tabs>
        <w:spacing w:line="228" w:lineRule="auto" w:before="118" w:after="0"/>
        <w:ind w:left="1560" w:right="480" w:hanging="353"/>
        <w:jc w:val="both"/>
        <w:rPr>
          <w:sz w:val="22"/>
        </w:rPr>
      </w:pPr>
      <w:r>
        <w:rPr>
          <w:i/>
          <w:sz w:val="22"/>
        </w:rPr>
        <w:t>Automobile Liability</w:t>
      </w:r>
      <w:r>
        <w:rPr>
          <w:sz w:val="22"/>
        </w:rPr>
        <w:t>. ISO Form CA 00 01 covering any auto (Code 1), or if TPA has no owned autos, hired (Code 8) and non-owned autos (Code 9), with limits no less than</w:t>
      </w:r>
      <w:r>
        <w:rPr>
          <w:spacing w:val="-6"/>
          <w:sz w:val="22"/>
        </w:rPr>
        <w:t> </w:t>
      </w:r>
      <w:r>
        <w:rPr>
          <w:sz w:val="22"/>
        </w:rPr>
        <w:t>$1,000,000</w:t>
      </w:r>
      <w:r>
        <w:rPr>
          <w:spacing w:val="-8"/>
          <w:sz w:val="22"/>
        </w:rPr>
        <w:t> </w:t>
      </w:r>
      <w:r>
        <w:rPr>
          <w:sz w:val="22"/>
        </w:rPr>
        <w:t>per</w:t>
      </w:r>
      <w:r>
        <w:rPr>
          <w:spacing w:val="-6"/>
          <w:sz w:val="22"/>
        </w:rPr>
        <w:t> </w:t>
      </w:r>
      <w:r>
        <w:rPr>
          <w:sz w:val="22"/>
        </w:rPr>
        <w:t>accident</w:t>
      </w:r>
      <w:r>
        <w:rPr>
          <w:spacing w:val="-6"/>
          <w:sz w:val="22"/>
        </w:rPr>
        <w:t> </w:t>
      </w:r>
      <w:r>
        <w:rPr>
          <w:sz w:val="22"/>
        </w:rPr>
        <w:t>for</w:t>
      </w:r>
      <w:r>
        <w:rPr>
          <w:spacing w:val="-9"/>
          <w:sz w:val="22"/>
        </w:rPr>
        <w:t> </w:t>
      </w:r>
      <w:r>
        <w:rPr>
          <w:sz w:val="22"/>
        </w:rPr>
        <w:t>bodily</w:t>
      </w:r>
      <w:r>
        <w:rPr>
          <w:spacing w:val="-9"/>
          <w:sz w:val="22"/>
        </w:rPr>
        <w:t> </w:t>
      </w:r>
      <w:r>
        <w:rPr>
          <w:sz w:val="22"/>
        </w:rPr>
        <w:t>injury</w:t>
      </w:r>
      <w:r>
        <w:rPr>
          <w:spacing w:val="-9"/>
          <w:sz w:val="22"/>
        </w:rPr>
        <w:t> </w:t>
      </w:r>
      <w:r>
        <w:rPr>
          <w:sz w:val="22"/>
        </w:rPr>
        <w:t>and</w:t>
      </w:r>
      <w:r>
        <w:rPr>
          <w:spacing w:val="-9"/>
          <w:sz w:val="22"/>
        </w:rPr>
        <w:t> </w:t>
      </w:r>
      <w:r>
        <w:rPr>
          <w:sz w:val="22"/>
        </w:rPr>
        <w:t>property</w:t>
      </w:r>
      <w:r>
        <w:rPr>
          <w:spacing w:val="-9"/>
          <w:sz w:val="22"/>
        </w:rPr>
        <w:t> </w:t>
      </w:r>
      <w:r>
        <w:rPr>
          <w:sz w:val="22"/>
        </w:rPr>
        <w:t>damage,</w:t>
      </w:r>
      <w:r>
        <w:rPr>
          <w:spacing w:val="-4"/>
          <w:sz w:val="22"/>
        </w:rPr>
        <w:t> </w:t>
      </w:r>
      <w:r>
        <w:rPr>
          <w:sz w:val="22"/>
        </w:rPr>
        <w:t>unless</w:t>
      </w:r>
      <w:r>
        <w:rPr>
          <w:spacing w:val="-8"/>
          <w:sz w:val="22"/>
        </w:rPr>
        <w:t> </w:t>
      </w:r>
      <w:r>
        <w:rPr>
          <w:sz w:val="22"/>
        </w:rPr>
        <w:t>waived</w:t>
      </w:r>
      <w:r>
        <w:rPr>
          <w:spacing w:val="-6"/>
          <w:sz w:val="22"/>
        </w:rPr>
        <w:t> </w:t>
      </w:r>
      <w:r>
        <w:rPr>
          <w:sz w:val="22"/>
        </w:rPr>
        <w:t>by the CITY and approved in writing by the CITY’s Risk and Safety</w:t>
      </w:r>
      <w:r>
        <w:rPr>
          <w:spacing w:val="-13"/>
          <w:sz w:val="22"/>
        </w:rPr>
        <w:t> </w:t>
      </w:r>
      <w:r>
        <w:rPr>
          <w:sz w:val="22"/>
        </w:rPr>
        <w:t>Division.</w:t>
      </w:r>
    </w:p>
    <w:p>
      <w:pPr>
        <w:pStyle w:val="ListParagraph"/>
        <w:numPr>
          <w:ilvl w:val="2"/>
          <w:numId w:val="6"/>
        </w:numPr>
        <w:tabs>
          <w:tab w:pos="1560" w:val="left" w:leader="none"/>
        </w:tabs>
        <w:spacing w:line="228" w:lineRule="auto" w:before="119" w:after="0"/>
        <w:ind w:left="1560" w:right="480" w:hanging="353"/>
        <w:jc w:val="both"/>
        <w:rPr>
          <w:sz w:val="22"/>
        </w:rPr>
      </w:pPr>
      <w:r>
        <w:rPr>
          <w:i/>
          <w:sz w:val="22"/>
        </w:rPr>
        <w:t>Workers’ Compensation</w:t>
      </w:r>
      <w:r>
        <w:rPr>
          <w:sz w:val="22"/>
        </w:rPr>
        <w:t>. Worker’s Compensation as required by the State of California, with Statutory Limits, and Employer’s Liability Insurance with limits of no less than $1,000,000 per accident for bodily injury or</w:t>
      </w:r>
      <w:r>
        <w:rPr>
          <w:spacing w:val="-14"/>
          <w:sz w:val="22"/>
        </w:rPr>
        <w:t> </w:t>
      </w:r>
      <w:r>
        <w:rPr>
          <w:sz w:val="22"/>
        </w:rPr>
        <w:t>disease.</w:t>
      </w:r>
    </w:p>
    <w:p>
      <w:pPr>
        <w:pStyle w:val="ListParagraph"/>
        <w:numPr>
          <w:ilvl w:val="2"/>
          <w:numId w:val="6"/>
        </w:numPr>
        <w:tabs>
          <w:tab w:pos="1601" w:val="left" w:leader="none"/>
        </w:tabs>
        <w:spacing w:line="228" w:lineRule="auto" w:before="119" w:after="0"/>
        <w:ind w:left="1560" w:right="479" w:hanging="353"/>
        <w:jc w:val="both"/>
        <w:rPr>
          <w:sz w:val="22"/>
        </w:rPr>
      </w:pPr>
      <w:r>
        <w:rPr/>
        <w:tab/>
      </w:r>
      <w:r>
        <w:rPr>
          <w:i/>
          <w:sz w:val="22"/>
        </w:rPr>
        <w:t>Professional Liability (Errors and Omissions)</w:t>
      </w:r>
      <w:r>
        <w:rPr>
          <w:sz w:val="22"/>
        </w:rPr>
        <w:t>. Professional Liability (Errors and Omissions) appropriate to TPA’s profession, with limits no less than $2,000,000 per occurrence or claim, $2,000,000</w:t>
      </w:r>
      <w:r>
        <w:rPr>
          <w:spacing w:val="1"/>
          <w:sz w:val="22"/>
        </w:rPr>
        <w:t> </w:t>
      </w:r>
      <w:r>
        <w:rPr>
          <w:sz w:val="22"/>
        </w:rPr>
        <w:t>aggregate.</w:t>
      </w:r>
    </w:p>
    <w:p>
      <w:pPr>
        <w:pStyle w:val="ListParagraph"/>
        <w:numPr>
          <w:ilvl w:val="2"/>
          <w:numId w:val="6"/>
        </w:numPr>
        <w:tabs>
          <w:tab w:pos="1543" w:val="left" w:leader="none"/>
        </w:tabs>
        <w:spacing w:line="228" w:lineRule="auto" w:before="119" w:after="0"/>
        <w:ind w:left="1560" w:right="483" w:hanging="353"/>
        <w:jc w:val="both"/>
        <w:rPr>
          <w:sz w:val="22"/>
        </w:rPr>
      </w:pPr>
      <w:r>
        <w:rPr>
          <w:sz w:val="22"/>
        </w:rPr>
        <w:t>If TPA maintains broader coverage and/or higher limits than the minimums otherwise required by this Agreement, the CITY requires and shall be entitled to the broader coverage and/or the higher limits maintained by</w:t>
      </w:r>
      <w:r>
        <w:rPr>
          <w:spacing w:val="-8"/>
          <w:sz w:val="22"/>
        </w:rPr>
        <w:t> </w:t>
      </w:r>
      <w:r>
        <w:rPr>
          <w:sz w:val="22"/>
        </w:rPr>
        <w:t>TPA.</w:t>
      </w:r>
    </w:p>
    <w:p>
      <w:pPr>
        <w:spacing w:after="0" w:line="228" w:lineRule="auto"/>
        <w:jc w:val="both"/>
        <w:rPr>
          <w:sz w:val="22"/>
        </w:rPr>
        <w:sectPr>
          <w:pgSz w:w="12240" w:h="15840"/>
          <w:pgMar w:header="0" w:footer="1168" w:top="720" w:bottom="1440" w:left="960" w:right="960"/>
        </w:sectPr>
      </w:pPr>
    </w:p>
    <w:p>
      <w:pPr>
        <w:pStyle w:val="ListParagraph"/>
        <w:numPr>
          <w:ilvl w:val="1"/>
          <w:numId w:val="6"/>
        </w:numPr>
        <w:tabs>
          <w:tab w:pos="1143" w:val="left" w:leader="none"/>
        </w:tabs>
        <w:spacing w:line="228" w:lineRule="auto" w:before="87" w:after="0"/>
        <w:ind w:left="1200" w:right="484" w:hanging="360"/>
        <w:jc w:val="both"/>
        <w:rPr>
          <w:sz w:val="22"/>
        </w:rPr>
      </w:pPr>
      <w:r>
        <w:rPr/>
        <w:pict>
          <v:group style="position:absolute;margin-left:26.160002pt;margin-top:26.160002pt;width:561.85pt;height:741.85pt;mso-position-horizontal-relative:page;mso-position-vertical-relative:page;z-index:-253958144" coordorigin="523,523" coordsize="11237,14837">
            <v:line style="position:absolute" from="523,545" to="11674,545" stroked="true" strokeweight="2.159998pt" strokecolor="#000000">
              <v:stroke dashstyle="solid"/>
            </v:line>
            <v:rect style="position:absolute;left:11673;top:523;width:44;height:44" filled="true" fillcolor="#000000" stroked="false">
              <v:fill type="solid"/>
            </v:rect>
            <v:line style="position:absolute" from="545,566" to="545,15317" stroked="true" strokeweight="2.159998pt" strokecolor="#000000">
              <v:stroke dashstyle="solid"/>
            </v:line>
            <v:line style="position:absolute" from="11717,566" to="11717,15274" stroked="true" strokeweight="4.320008pt" strokecolor="#000000">
              <v:stroke dashstyle="solid"/>
            </v:line>
            <v:line style="position:absolute" from="566,15317" to="11674,15317" stroked="true" strokeweight="4.320008pt" strokecolor="#000000">
              <v:stroke dashstyle="solid"/>
            </v:line>
            <v:shape style="position:absolute;left:11673;top:15273;width:87;height:87" coordorigin="11674,15274" coordsize="87,87" path="m11760,15274l11717,15274,11674,15274,11674,15317,11674,15360,11717,15360,11760,15360,11760,15317,11760,15274e" filled="true" fillcolor="#000000" stroked="false">
              <v:path arrowok="t"/>
              <v:fill type="solid"/>
            </v:shape>
            <w10:wrap type="none"/>
          </v:group>
        </w:pict>
      </w:r>
      <w:r>
        <w:rPr>
          <w:sz w:val="22"/>
        </w:rPr>
        <w:t>Each</w:t>
      </w:r>
      <w:r>
        <w:rPr>
          <w:spacing w:val="-6"/>
          <w:sz w:val="22"/>
        </w:rPr>
        <w:t> </w:t>
      </w:r>
      <w:r>
        <w:rPr>
          <w:sz w:val="22"/>
        </w:rPr>
        <w:t>insurance</w:t>
      </w:r>
      <w:r>
        <w:rPr>
          <w:spacing w:val="-5"/>
          <w:sz w:val="22"/>
        </w:rPr>
        <w:t> </w:t>
      </w:r>
      <w:r>
        <w:rPr>
          <w:sz w:val="22"/>
        </w:rPr>
        <w:t>policy</w:t>
      </w:r>
      <w:r>
        <w:rPr>
          <w:spacing w:val="-5"/>
          <w:sz w:val="22"/>
        </w:rPr>
        <w:t> </w:t>
      </w:r>
      <w:r>
        <w:rPr>
          <w:sz w:val="22"/>
        </w:rPr>
        <w:t>required</w:t>
      </w:r>
      <w:r>
        <w:rPr>
          <w:spacing w:val="-4"/>
          <w:sz w:val="22"/>
        </w:rPr>
        <w:t> </w:t>
      </w:r>
      <w:r>
        <w:rPr>
          <w:sz w:val="22"/>
        </w:rPr>
        <w:t>by</w:t>
      </w:r>
      <w:r>
        <w:rPr>
          <w:spacing w:val="-9"/>
          <w:sz w:val="22"/>
        </w:rPr>
        <w:t> </w:t>
      </w:r>
      <w:r>
        <w:rPr>
          <w:sz w:val="22"/>
        </w:rPr>
        <w:t>this</w:t>
      </w:r>
      <w:r>
        <w:rPr>
          <w:spacing w:val="-6"/>
          <w:sz w:val="22"/>
        </w:rPr>
        <w:t> </w:t>
      </w:r>
      <w:r>
        <w:rPr>
          <w:sz w:val="22"/>
        </w:rPr>
        <w:t>Agreement</w:t>
      </w:r>
      <w:r>
        <w:rPr>
          <w:spacing w:val="-5"/>
          <w:sz w:val="22"/>
        </w:rPr>
        <w:t> </w:t>
      </w:r>
      <w:r>
        <w:rPr>
          <w:sz w:val="22"/>
        </w:rPr>
        <w:t>must</w:t>
      </w:r>
      <w:r>
        <w:rPr>
          <w:spacing w:val="-6"/>
          <w:sz w:val="22"/>
        </w:rPr>
        <w:t> </w:t>
      </w:r>
      <w:r>
        <w:rPr>
          <w:sz w:val="22"/>
        </w:rPr>
        <w:t>be</w:t>
      </w:r>
      <w:r>
        <w:rPr>
          <w:spacing w:val="-5"/>
          <w:sz w:val="22"/>
        </w:rPr>
        <w:t> </w:t>
      </w:r>
      <w:r>
        <w:rPr>
          <w:sz w:val="22"/>
        </w:rPr>
        <w:t>acceptable</w:t>
      </w:r>
      <w:r>
        <w:rPr>
          <w:spacing w:val="-6"/>
          <w:sz w:val="22"/>
        </w:rPr>
        <w:t> </w:t>
      </w:r>
      <w:r>
        <w:rPr>
          <w:sz w:val="22"/>
        </w:rPr>
        <w:t>to</w:t>
      </w:r>
      <w:r>
        <w:rPr>
          <w:spacing w:val="-4"/>
          <w:sz w:val="22"/>
        </w:rPr>
        <w:t> </w:t>
      </w:r>
      <w:r>
        <w:rPr>
          <w:sz w:val="22"/>
        </w:rPr>
        <w:t>the</w:t>
      </w:r>
      <w:r>
        <w:rPr>
          <w:spacing w:val="-5"/>
          <w:sz w:val="22"/>
        </w:rPr>
        <w:t> </w:t>
      </w:r>
      <w:r>
        <w:rPr>
          <w:sz w:val="22"/>
        </w:rPr>
        <w:t>City</w:t>
      </w:r>
      <w:r>
        <w:rPr>
          <w:spacing w:val="-5"/>
          <w:sz w:val="22"/>
        </w:rPr>
        <w:t> </w:t>
      </w:r>
      <w:r>
        <w:rPr>
          <w:sz w:val="22"/>
        </w:rPr>
        <w:t>Attorney and shall meet the following</w:t>
      </w:r>
      <w:r>
        <w:rPr>
          <w:spacing w:val="-4"/>
          <w:sz w:val="22"/>
        </w:rPr>
        <w:t> </w:t>
      </w:r>
      <w:r>
        <w:rPr>
          <w:sz w:val="22"/>
        </w:rPr>
        <w:t>requirements:</w:t>
      </w:r>
    </w:p>
    <w:p>
      <w:pPr>
        <w:pStyle w:val="ListParagraph"/>
        <w:numPr>
          <w:ilvl w:val="2"/>
          <w:numId w:val="6"/>
        </w:numPr>
        <w:tabs>
          <w:tab w:pos="1560" w:val="left" w:leader="none"/>
        </w:tabs>
        <w:spacing w:line="228" w:lineRule="auto" w:before="119" w:after="0"/>
        <w:ind w:left="1560" w:right="480" w:hanging="353"/>
        <w:jc w:val="both"/>
        <w:rPr>
          <w:sz w:val="22"/>
        </w:rPr>
      </w:pPr>
      <w:r>
        <w:rPr>
          <w:i/>
          <w:sz w:val="22"/>
        </w:rPr>
        <w:t>Acceptability of Insurers</w:t>
      </w:r>
      <w:r>
        <w:rPr>
          <w:sz w:val="22"/>
        </w:rPr>
        <w:t>. Insurance coverage must be provided by an insurer authorized to conduct business in the state of California with a current A.M. Best’s rating of no less than A-:VII, or as approved by the</w:t>
      </w:r>
      <w:r>
        <w:rPr>
          <w:spacing w:val="-5"/>
          <w:sz w:val="22"/>
        </w:rPr>
        <w:t> </w:t>
      </w:r>
      <w:r>
        <w:rPr>
          <w:sz w:val="22"/>
        </w:rPr>
        <w:t>CITY.</w:t>
      </w:r>
    </w:p>
    <w:p>
      <w:pPr>
        <w:pStyle w:val="ListParagraph"/>
        <w:numPr>
          <w:ilvl w:val="2"/>
          <w:numId w:val="6"/>
        </w:numPr>
        <w:tabs>
          <w:tab w:pos="1560" w:val="left" w:leader="none"/>
        </w:tabs>
        <w:spacing w:line="228" w:lineRule="auto" w:before="119" w:after="0"/>
        <w:ind w:left="1560" w:right="480" w:hanging="353"/>
        <w:jc w:val="both"/>
        <w:rPr>
          <w:sz w:val="22"/>
        </w:rPr>
      </w:pPr>
      <w:r>
        <w:rPr>
          <w:i/>
          <w:sz w:val="22"/>
        </w:rPr>
        <w:t>Additional Insured Status</w:t>
      </w:r>
      <w:r>
        <w:rPr>
          <w:sz w:val="22"/>
        </w:rPr>
        <w:t>. Both the Commercial General Liability and the</w:t>
      </w:r>
      <w:r>
        <w:rPr>
          <w:spacing w:val="-23"/>
          <w:sz w:val="22"/>
        </w:rPr>
        <w:t> </w:t>
      </w:r>
      <w:r>
        <w:rPr>
          <w:sz w:val="22"/>
        </w:rPr>
        <w:t>Automobile Liability policies must name the CITY (including its officials, officers, agents, employees,</w:t>
      </w:r>
      <w:r>
        <w:rPr>
          <w:spacing w:val="-3"/>
          <w:sz w:val="22"/>
        </w:rPr>
        <w:t> </w:t>
      </w:r>
      <w:r>
        <w:rPr>
          <w:sz w:val="22"/>
        </w:rPr>
        <w:t>and</w:t>
      </w:r>
      <w:r>
        <w:rPr>
          <w:spacing w:val="-5"/>
          <w:sz w:val="22"/>
        </w:rPr>
        <w:t> </w:t>
      </w:r>
      <w:r>
        <w:rPr>
          <w:sz w:val="22"/>
        </w:rPr>
        <w:t>volunteers)</w:t>
      </w:r>
      <w:r>
        <w:rPr>
          <w:spacing w:val="-5"/>
          <w:sz w:val="22"/>
        </w:rPr>
        <w:t> </w:t>
      </w:r>
      <w:r>
        <w:rPr>
          <w:sz w:val="22"/>
        </w:rPr>
        <w:t>specifically</w:t>
      </w:r>
      <w:r>
        <w:rPr>
          <w:spacing w:val="-7"/>
          <w:sz w:val="22"/>
        </w:rPr>
        <w:t> </w:t>
      </w:r>
      <w:r>
        <w:rPr>
          <w:sz w:val="22"/>
        </w:rPr>
        <w:t>as</w:t>
      </w:r>
      <w:r>
        <w:rPr>
          <w:spacing w:val="-4"/>
          <w:sz w:val="22"/>
        </w:rPr>
        <w:t> </w:t>
      </w:r>
      <w:r>
        <w:rPr>
          <w:sz w:val="22"/>
        </w:rPr>
        <w:t>an</w:t>
      </w:r>
      <w:r>
        <w:rPr>
          <w:spacing w:val="-5"/>
          <w:sz w:val="22"/>
        </w:rPr>
        <w:t> </w:t>
      </w:r>
      <w:r>
        <w:rPr>
          <w:sz w:val="22"/>
        </w:rPr>
        <w:t>additional</w:t>
      </w:r>
      <w:r>
        <w:rPr>
          <w:spacing w:val="-4"/>
          <w:sz w:val="22"/>
        </w:rPr>
        <w:t> </w:t>
      </w:r>
      <w:r>
        <w:rPr>
          <w:sz w:val="22"/>
        </w:rPr>
        <w:t>insured</w:t>
      </w:r>
      <w:r>
        <w:rPr>
          <w:spacing w:val="-6"/>
          <w:sz w:val="22"/>
        </w:rPr>
        <w:t> </w:t>
      </w:r>
      <w:r>
        <w:rPr>
          <w:sz w:val="22"/>
        </w:rPr>
        <w:t>under</w:t>
      </w:r>
      <w:r>
        <w:rPr>
          <w:spacing w:val="-6"/>
          <w:sz w:val="22"/>
        </w:rPr>
        <w:t> </w:t>
      </w:r>
      <w:r>
        <w:rPr>
          <w:sz w:val="22"/>
        </w:rPr>
        <w:t>the</w:t>
      </w:r>
      <w:r>
        <w:rPr>
          <w:spacing w:val="-6"/>
          <w:sz w:val="22"/>
        </w:rPr>
        <w:t> </w:t>
      </w:r>
      <w:r>
        <w:rPr>
          <w:sz w:val="22"/>
        </w:rPr>
        <w:t>policy</w:t>
      </w:r>
      <w:r>
        <w:rPr>
          <w:spacing w:val="-5"/>
          <w:sz w:val="22"/>
        </w:rPr>
        <w:t> </w:t>
      </w:r>
      <w:r>
        <w:rPr>
          <w:sz w:val="22"/>
        </w:rPr>
        <w:t>on</w:t>
      </w:r>
      <w:r>
        <w:rPr>
          <w:spacing w:val="-5"/>
          <w:sz w:val="22"/>
        </w:rPr>
        <w:t> </w:t>
      </w:r>
      <w:r>
        <w:rPr>
          <w:sz w:val="22"/>
        </w:rPr>
        <w:t>a separate endorsement page. The Commercial General Liability additional insured endorsement shall be at least as broad as ISO Form </w:t>
      </w:r>
      <w:r>
        <w:rPr>
          <w:spacing w:val="-3"/>
          <w:sz w:val="22"/>
        </w:rPr>
        <w:t>CG </w:t>
      </w:r>
      <w:r>
        <w:rPr>
          <w:sz w:val="22"/>
        </w:rPr>
        <w:t>20 10 11 85, or </w:t>
      </w:r>
      <w:r>
        <w:rPr>
          <w:spacing w:val="-3"/>
          <w:sz w:val="22"/>
        </w:rPr>
        <w:t>if </w:t>
      </w:r>
      <w:r>
        <w:rPr>
          <w:sz w:val="22"/>
        </w:rPr>
        <w:t>not available, through the addition of </w:t>
      </w:r>
      <w:r>
        <w:rPr>
          <w:i/>
          <w:sz w:val="22"/>
        </w:rPr>
        <w:t>both </w:t>
      </w:r>
      <w:r>
        <w:rPr>
          <w:sz w:val="22"/>
        </w:rPr>
        <w:t>CG 20 10, CG 20 26, CG 20 33, or CG 20 38, </w:t>
      </w:r>
      <w:r>
        <w:rPr>
          <w:i/>
          <w:sz w:val="22"/>
        </w:rPr>
        <w:t>and </w:t>
      </w:r>
      <w:r>
        <w:rPr>
          <w:sz w:val="22"/>
        </w:rPr>
        <w:t>CG 20 37 </w:t>
      </w:r>
      <w:r>
        <w:rPr>
          <w:spacing w:val="-3"/>
          <w:sz w:val="22"/>
        </w:rPr>
        <w:t>if </w:t>
      </w:r>
      <w:r>
        <w:rPr>
          <w:sz w:val="22"/>
        </w:rPr>
        <w:t>a later edition is used. The Automobile Liability endorsement shall</w:t>
      </w:r>
      <w:r>
        <w:rPr>
          <w:spacing w:val="-36"/>
          <w:sz w:val="22"/>
        </w:rPr>
        <w:t> </w:t>
      </w:r>
      <w:r>
        <w:rPr>
          <w:sz w:val="22"/>
        </w:rPr>
        <w:t>be at least as broad as ISO Form CA 20</w:t>
      </w:r>
      <w:r>
        <w:rPr>
          <w:spacing w:val="-6"/>
          <w:sz w:val="22"/>
        </w:rPr>
        <w:t> </w:t>
      </w:r>
      <w:r>
        <w:rPr>
          <w:sz w:val="22"/>
        </w:rPr>
        <w:t>01.</w:t>
      </w:r>
    </w:p>
    <w:p>
      <w:pPr>
        <w:pStyle w:val="ListParagraph"/>
        <w:numPr>
          <w:ilvl w:val="2"/>
          <w:numId w:val="6"/>
        </w:numPr>
        <w:tabs>
          <w:tab w:pos="1560" w:val="left" w:leader="none"/>
        </w:tabs>
        <w:spacing w:line="228" w:lineRule="auto" w:before="118" w:after="0"/>
        <w:ind w:left="1560" w:right="480" w:hanging="353"/>
        <w:jc w:val="both"/>
        <w:rPr>
          <w:sz w:val="22"/>
        </w:rPr>
      </w:pPr>
      <w:r>
        <w:rPr>
          <w:i/>
          <w:sz w:val="22"/>
        </w:rPr>
        <w:t>Primary Coverage</w:t>
      </w:r>
      <w:r>
        <w:rPr>
          <w:sz w:val="22"/>
        </w:rPr>
        <w:t>. TPA’s insurance coverage shall be primary coverage at least as broad as ISO CG 20 01 04 13 with respect to the CITY, its officials, officers, agents, employees, and volunteers. Any insurance or self-insurance maintained by the CITY, its officials, officers, agents, employees, or volunteers shall be in excess of TPA’s insurance and shall not contribute with</w:t>
      </w:r>
      <w:r>
        <w:rPr>
          <w:spacing w:val="-3"/>
          <w:sz w:val="22"/>
        </w:rPr>
        <w:t> </w:t>
      </w:r>
      <w:r>
        <w:rPr>
          <w:sz w:val="22"/>
        </w:rPr>
        <w:t>it.</w:t>
      </w:r>
    </w:p>
    <w:p>
      <w:pPr>
        <w:pStyle w:val="ListParagraph"/>
        <w:numPr>
          <w:ilvl w:val="2"/>
          <w:numId w:val="6"/>
        </w:numPr>
        <w:tabs>
          <w:tab w:pos="1560" w:val="left" w:leader="none"/>
        </w:tabs>
        <w:spacing w:line="228" w:lineRule="auto" w:before="118" w:after="0"/>
        <w:ind w:left="1560" w:right="480" w:hanging="353"/>
        <w:jc w:val="both"/>
        <w:rPr>
          <w:sz w:val="22"/>
        </w:rPr>
      </w:pPr>
      <w:r>
        <w:rPr>
          <w:i/>
          <w:sz w:val="22"/>
        </w:rPr>
        <w:t>Notice of Cancellation</w:t>
      </w:r>
      <w:r>
        <w:rPr>
          <w:sz w:val="22"/>
        </w:rPr>
        <w:t>. Each insurance policy shall provide that coverage shall not</w:t>
      </w:r>
      <w:r>
        <w:rPr>
          <w:spacing w:val="-21"/>
          <w:sz w:val="22"/>
        </w:rPr>
        <w:t> </w:t>
      </w:r>
      <w:r>
        <w:rPr>
          <w:sz w:val="22"/>
        </w:rPr>
        <w:t>be canceled, except with prior written notice to the</w:t>
      </w:r>
      <w:r>
        <w:rPr>
          <w:spacing w:val="-6"/>
          <w:sz w:val="22"/>
        </w:rPr>
        <w:t> </w:t>
      </w:r>
      <w:r>
        <w:rPr>
          <w:sz w:val="22"/>
        </w:rPr>
        <w:t>CITY.</w:t>
      </w:r>
    </w:p>
    <w:p>
      <w:pPr>
        <w:pStyle w:val="ListParagraph"/>
        <w:numPr>
          <w:ilvl w:val="2"/>
          <w:numId w:val="6"/>
        </w:numPr>
        <w:tabs>
          <w:tab w:pos="1575" w:val="left" w:leader="none"/>
        </w:tabs>
        <w:spacing w:line="228" w:lineRule="auto" w:before="119" w:after="0"/>
        <w:ind w:left="1560" w:right="480" w:hanging="353"/>
        <w:jc w:val="both"/>
        <w:rPr>
          <w:sz w:val="22"/>
        </w:rPr>
      </w:pPr>
      <w:r>
        <w:rPr>
          <w:i/>
          <w:sz w:val="22"/>
        </w:rPr>
        <w:t>Subcontractors</w:t>
      </w:r>
      <w:r>
        <w:rPr>
          <w:sz w:val="22"/>
        </w:rPr>
        <w:t>. If applicable, TPA shall require and verify that all subcontractors maintain insurance meeting all the requirements stated within this Agreement, and TPA</w:t>
      </w:r>
      <w:r>
        <w:rPr>
          <w:spacing w:val="-14"/>
          <w:sz w:val="22"/>
        </w:rPr>
        <w:t> </w:t>
      </w:r>
      <w:r>
        <w:rPr>
          <w:sz w:val="22"/>
        </w:rPr>
        <w:t>shall</w:t>
      </w:r>
      <w:r>
        <w:rPr>
          <w:spacing w:val="-12"/>
          <w:sz w:val="22"/>
        </w:rPr>
        <w:t> </w:t>
      </w:r>
      <w:r>
        <w:rPr>
          <w:sz w:val="22"/>
        </w:rPr>
        <w:t>ensure</w:t>
      </w:r>
      <w:r>
        <w:rPr>
          <w:spacing w:val="-16"/>
          <w:sz w:val="22"/>
        </w:rPr>
        <w:t> </w:t>
      </w:r>
      <w:r>
        <w:rPr>
          <w:sz w:val="22"/>
        </w:rPr>
        <w:t>that</w:t>
      </w:r>
      <w:r>
        <w:rPr>
          <w:spacing w:val="-11"/>
          <w:sz w:val="22"/>
        </w:rPr>
        <w:t> </w:t>
      </w:r>
      <w:r>
        <w:rPr>
          <w:sz w:val="22"/>
        </w:rPr>
        <w:t>the</w:t>
      </w:r>
      <w:r>
        <w:rPr>
          <w:spacing w:val="-11"/>
          <w:sz w:val="22"/>
        </w:rPr>
        <w:t> </w:t>
      </w:r>
      <w:r>
        <w:rPr>
          <w:sz w:val="22"/>
        </w:rPr>
        <w:t>CITY</w:t>
      </w:r>
      <w:r>
        <w:rPr>
          <w:spacing w:val="-14"/>
          <w:sz w:val="22"/>
        </w:rPr>
        <w:t> </w:t>
      </w:r>
      <w:r>
        <w:rPr>
          <w:sz w:val="22"/>
        </w:rPr>
        <w:t>(including</w:t>
      </w:r>
      <w:r>
        <w:rPr>
          <w:spacing w:val="-10"/>
          <w:sz w:val="22"/>
        </w:rPr>
        <w:t> </w:t>
      </w:r>
      <w:r>
        <w:rPr>
          <w:sz w:val="22"/>
        </w:rPr>
        <w:t>its</w:t>
      </w:r>
      <w:r>
        <w:rPr>
          <w:spacing w:val="-13"/>
          <w:sz w:val="22"/>
        </w:rPr>
        <w:t> </w:t>
      </w:r>
      <w:r>
        <w:rPr>
          <w:sz w:val="22"/>
        </w:rPr>
        <w:t>officials,</w:t>
      </w:r>
      <w:r>
        <w:rPr>
          <w:spacing w:val="-10"/>
          <w:sz w:val="22"/>
        </w:rPr>
        <w:t> </w:t>
      </w:r>
      <w:r>
        <w:rPr>
          <w:sz w:val="22"/>
        </w:rPr>
        <w:t>officers,</w:t>
      </w:r>
      <w:r>
        <w:rPr>
          <w:spacing w:val="-12"/>
          <w:sz w:val="22"/>
        </w:rPr>
        <w:t> </w:t>
      </w:r>
      <w:r>
        <w:rPr>
          <w:sz w:val="22"/>
        </w:rPr>
        <w:t>agents,</w:t>
      </w:r>
      <w:r>
        <w:rPr>
          <w:spacing w:val="-11"/>
          <w:sz w:val="22"/>
        </w:rPr>
        <w:t> </w:t>
      </w:r>
      <w:r>
        <w:rPr>
          <w:sz w:val="22"/>
        </w:rPr>
        <w:t>employees,</w:t>
      </w:r>
      <w:r>
        <w:rPr>
          <w:spacing w:val="-8"/>
          <w:sz w:val="22"/>
        </w:rPr>
        <w:t> </w:t>
      </w:r>
      <w:r>
        <w:rPr>
          <w:sz w:val="22"/>
        </w:rPr>
        <w:t>and volunteers) is an additional insured on any insurance required from a</w:t>
      </w:r>
      <w:r>
        <w:rPr>
          <w:spacing w:val="-23"/>
          <w:sz w:val="22"/>
        </w:rPr>
        <w:t> </w:t>
      </w:r>
      <w:r>
        <w:rPr>
          <w:sz w:val="22"/>
        </w:rPr>
        <w:t>subcontractor.</w:t>
      </w:r>
    </w:p>
    <w:p>
      <w:pPr>
        <w:pStyle w:val="ListParagraph"/>
        <w:numPr>
          <w:ilvl w:val="2"/>
          <w:numId w:val="6"/>
        </w:numPr>
        <w:tabs>
          <w:tab w:pos="1580" w:val="left" w:leader="none"/>
        </w:tabs>
        <w:spacing w:line="228" w:lineRule="auto" w:before="119" w:after="0"/>
        <w:ind w:left="1560" w:right="480" w:hanging="353"/>
        <w:jc w:val="both"/>
        <w:rPr>
          <w:sz w:val="22"/>
        </w:rPr>
      </w:pPr>
      <w:r>
        <w:rPr>
          <w:i/>
          <w:sz w:val="22"/>
        </w:rPr>
        <w:t>Waiver of Subrogation</w:t>
      </w:r>
      <w:r>
        <w:rPr>
          <w:sz w:val="22"/>
        </w:rPr>
        <w:t>. TPA hereby grants to the CITY a waiver of any right to subrogation that any insurer of TPA may acquire against the CITY by virtue of the payment of any loss under such insurance. TPA agrees to obtain any endorsement that may be necessary to affect this waiver of subrogation, but this subsection shall apply regardless of whether or not the CITY has received a waiver of subrogation endorsement from the insurer. Any Workers’ Compensation policy required by this Agreement shall be endorsed with a waiver of subrogation in favor of the CITY for all work performed by the TPA, its agents, representatives, employees, and subcontractors.</w:t>
      </w:r>
    </w:p>
    <w:p>
      <w:pPr>
        <w:pStyle w:val="ListParagraph"/>
        <w:numPr>
          <w:ilvl w:val="2"/>
          <w:numId w:val="6"/>
        </w:numPr>
        <w:tabs>
          <w:tab w:pos="1553" w:val="left" w:leader="none"/>
        </w:tabs>
        <w:spacing w:line="228" w:lineRule="auto" w:before="117" w:after="0"/>
        <w:ind w:left="1560" w:right="480" w:hanging="353"/>
        <w:jc w:val="both"/>
        <w:rPr>
          <w:sz w:val="22"/>
        </w:rPr>
      </w:pPr>
      <w:r>
        <w:rPr>
          <w:i/>
          <w:sz w:val="22"/>
        </w:rPr>
        <w:t>Self-Insurance</w:t>
      </w:r>
      <w:r>
        <w:rPr>
          <w:sz w:val="22"/>
        </w:rPr>
        <w:t>. TPA may, with the CITY’s prior written consent, fulfill some or all of the insurance requirements contained in this Agreement under a plan of self- insurance. TPA shall only be permitted to utilize such self-insurance if, in the opinion of the CITY, TPA’s (i) net worth and (ii) reserves for payment of claims of liability against TPA are sufficient to adequately compensate for the lack of other insurance coverage required by this Agreement. TPA’s utilization of self-insurance shall not in any way limit the liabilities assumed by TPA pursuant to this</w:t>
      </w:r>
      <w:r>
        <w:rPr>
          <w:spacing w:val="-11"/>
          <w:sz w:val="22"/>
        </w:rPr>
        <w:t> </w:t>
      </w:r>
      <w:r>
        <w:rPr>
          <w:sz w:val="22"/>
        </w:rPr>
        <w:t>Agreement.</w:t>
      </w:r>
    </w:p>
    <w:p>
      <w:pPr>
        <w:pStyle w:val="ListParagraph"/>
        <w:numPr>
          <w:ilvl w:val="2"/>
          <w:numId w:val="6"/>
        </w:numPr>
        <w:tabs>
          <w:tab w:pos="1534" w:val="left" w:leader="none"/>
        </w:tabs>
        <w:spacing w:line="228" w:lineRule="auto" w:before="118" w:after="0"/>
        <w:ind w:left="1560" w:right="483" w:hanging="353"/>
        <w:jc w:val="both"/>
        <w:rPr>
          <w:sz w:val="22"/>
        </w:rPr>
      </w:pPr>
      <w:r>
        <w:rPr>
          <w:i/>
          <w:sz w:val="22"/>
        </w:rPr>
        <w:t>Self-Insured Retentions</w:t>
      </w:r>
      <w:r>
        <w:rPr>
          <w:sz w:val="22"/>
        </w:rPr>
        <w:t>. Self-insured retentions must be declared to and approved</w:t>
      </w:r>
      <w:r>
        <w:rPr>
          <w:spacing w:val="-42"/>
          <w:sz w:val="22"/>
        </w:rPr>
        <w:t> </w:t>
      </w:r>
      <w:r>
        <w:rPr>
          <w:sz w:val="22"/>
        </w:rPr>
        <w:t>by the CITY.</w:t>
      </w:r>
    </w:p>
    <w:p>
      <w:pPr>
        <w:pStyle w:val="ListParagraph"/>
        <w:numPr>
          <w:ilvl w:val="1"/>
          <w:numId w:val="6"/>
        </w:numPr>
        <w:tabs>
          <w:tab w:pos="1200" w:val="left" w:leader="none"/>
        </w:tabs>
        <w:spacing w:line="228" w:lineRule="auto" w:before="119" w:after="0"/>
        <w:ind w:left="1200" w:right="479" w:hanging="344"/>
        <w:jc w:val="both"/>
        <w:rPr>
          <w:sz w:val="22"/>
        </w:rPr>
      </w:pPr>
      <w:r>
        <w:rPr>
          <w:i/>
          <w:sz w:val="22"/>
        </w:rPr>
        <w:t>Verification</w:t>
      </w:r>
      <w:r>
        <w:rPr>
          <w:i/>
          <w:spacing w:val="-11"/>
          <w:sz w:val="22"/>
        </w:rPr>
        <w:t> </w:t>
      </w:r>
      <w:r>
        <w:rPr>
          <w:i/>
          <w:sz w:val="22"/>
        </w:rPr>
        <w:t>of</w:t>
      </w:r>
      <w:r>
        <w:rPr>
          <w:i/>
          <w:spacing w:val="-11"/>
          <w:sz w:val="22"/>
        </w:rPr>
        <w:t> </w:t>
      </w:r>
      <w:r>
        <w:rPr>
          <w:i/>
          <w:sz w:val="22"/>
        </w:rPr>
        <w:t>Coverage</w:t>
      </w:r>
      <w:r>
        <w:rPr>
          <w:sz w:val="22"/>
        </w:rPr>
        <w:t>.</w:t>
      </w:r>
      <w:r>
        <w:rPr>
          <w:spacing w:val="40"/>
          <w:sz w:val="22"/>
        </w:rPr>
        <w:t> </w:t>
      </w:r>
      <w:r>
        <w:rPr>
          <w:sz w:val="22"/>
        </w:rPr>
        <w:t>At</w:t>
      </w:r>
      <w:r>
        <w:rPr>
          <w:spacing w:val="-12"/>
          <w:sz w:val="22"/>
        </w:rPr>
        <w:t> </w:t>
      </w:r>
      <w:r>
        <w:rPr>
          <w:sz w:val="22"/>
        </w:rPr>
        <w:t>the</w:t>
      </w:r>
      <w:r>
        <w:rPr>
          <w:spacing w:val="-9"/>
          <w:sz w:val="22"/>
        </w:rPr>
        <w:t> </w:t>
      </w:r>
      <w:r>
        <w:rPr>
          <w:sz w:val="22"/>
        </w:rPr>
        <w:t>time</w:t>
      </w:r>
      <w:r>
        <w:rPr>
          <w:spacing w:val="-13"/>
          <w:sz w:val="22"/>
        </w:rPr>
        <w:t> </w:t>
      </w:r>
      <w:r>
        <w:rPr>
          <w:sz w:val="22"/>
        </w:rPr>
        <w:t>TPA</w:t>
      </w:r>
      <w:r>
        <w:rPr>
          <w:spacing w:val="-11"/>
          <w:sz w:val="22"/>
        </w:rPr>
        <w:t> </w:t>
      </w:r>
      <w:r>
        <w:rPr>
          <w:sz w:val="22"/>
        </w:rPr>
        <w:t>executes</w:t>
      </w:r>
      <w:r>
        <w:rPr>
          <w:spacing w:val="-10"/>
          <w:sz w:val="22"/>
        </w:rPr>
        <w:t> </w:t>
      </w:r>
      <w:r>
        <w:rPr>
          <w:sz w:val="22"/>
        </w:rPr>
        <w:t>this</w:t>
      </w:r>
      <w:r>
        <w:rPr>
          <w:spacing w:val="-10"/>
          <w:sz w:val="22"/>
        </w:rPr>
        <w:t> </w:t>
      </w:r>
      <w:r>
        <w:rPr>
          <w:sz w:val="22"/>
        </w:rPr>
        <w:t>Agreement,</w:t>
      </w:r>
      <w:r>
        <w:rPr>
          <w:spacing w:val="-14"/>
          <w:sz w:val="22"/>
        </w:rPr>
        <w:t> </w:t>
      </w:r>
      <w:r>
        <w:rPr>
          <w:sz w:val="22"/>
        </w:rPr>
        <w:t>TPA</w:t>
      </w:r>
      <w:r>
        <w:rPr>
          <w:spacing w:val="-11"/>
          <w:sz w:val="22"/>
        </w:rPr>
        <w:t> </w:t>
      </w:r>
      <w:r>
        <w:rPr>
          <w:sz w:val="22"/>
        </w:rPr>
        <w:t>shall</w:t>
      </w:r>
      <w:r>
        <w:rPr>
          <w:spacing w:val="-11"/>
          <w:sz w:val="22"/>
        </w:rPr>
        <w:t> </w:t>
      </w:r>
      <w:r>
        <w:rPr>
          <w:sz w:val="22"/>
        </w:rPr>
        <w:t>provide</w:t>
      </w:r>
      <w:r>
        <w:rPr>
          <w:spacing w:val="-10"/>
          <w:sz w:val="22"/>
        </w:rPr>
        <w:t> </w:t>
      </w:r>
      <w:r>
        <w:rPr>
          <w:sz w:val="22"/>
        </w:rPr>
        <w:t>the CITY with original Certificates of Insurance including all required amendatory endorsements (or copies of the applicable policy language effecting the insurance coverage required by this Agreement), which shall meet all requirements under this Agreement. The CITY reserves the right to require complete, certified copies of all required insurance policies, including endorsements required by this Agreement, at any time.</w:t>
      </w:r>
    </w:p>
    <w:p>
      <w:pPr>
        <w:pStyle w:val="ListParagraph"/>
        <w:numPr>
          <w:ilvl w:val="1"/>
          <w:numId w:val="6"/>
        </w:numPr>
        <w:tabs>
          <w:tab w:pos="1102" w:val="left" w:leader="none"/>
        </w:tabs>
        <w:spacing w:line="228" w:lineRule="auto" w:before="118" w:after="0"/>
        <w:ind w:left="1200" w:right="480" w:hanging="344"/>
        <w:jc w:val="both"/>
        <w:rPr>
          <w:sz w:val="22"/>
        </w:rPr>
      </w:pPr>
      <w:r>
        <w:rPr>
          <w:i/>
          <w:sz w:val="22"/>
        </w:rPr>
        <w:t>Special Risks or Circumstances</w:t>
      </w:r>
      <w:r>
        <w:rPr>
          <w:sz w:val="22"/>
        </w:rPr>
        <w:t>. The CITY reserves the right, at any point during the term of</w:t>
      </w:r>
      <w:r>
        <w:rPr>
          <w:spacing w:val="39"/>
          <w:sz w:val="22"/>
        </w:rPr>
        <w:t> </w:t>
      </w:r>
      <w:r>
        <w:rPr>
          <w:sz w:val="22"/>
        </w:rPr>
        <w:t>this</w:t>
      </w:r>
      <w:r>
        <w:rPr>
          <w:spacing w:val="34"/>
          <w:sz w:val="22"/>
        </w:rPr>
        <w:t> </w:t>
      </w:r>
      <w:r>
        <w:rPr>
          <w:sz w:val="22"/>
        </w:rPr>
        <w:t>Agreement,</w:t>
      </w:r>
      <w:r>
        <w:rPr>
          <w:spacing w:val="36"/>
          <w:sz w:val="22"/>
        </w:rPr>
        <w:t> </w:t>
      </w:r>
      <w:r>
        <w:rPr>
          <w:sz w:val="22"/>
        </w:rPr>
        <w:t>to</w:t>
      </w:r>
      <w:r>
        <w:rPr>
          <w:spacing w:val="35"/>
          <w:sz w:val="22"/>
        </w:rPr>
        <w:t> </w:t>
      </w:r>
      <w:r>
        <w:rPr>
          <w:sz w:val="22"/>
        </w:rPr>
        <w:t>modify</w:t>
      </w:r>
      <w:r>
        <w:rPr>
          <w:spacing w:val="33"/>
          <w:sz w:val="22"/>
        </w:rPr>
        <w:t> </w:t>
      </w:r>
      <w:r>
        <w:rPr>
          <w:sz w:val="22"/>
        </w:rPr>
        <w:t>the</w:t>
      </w:r>
      <w:r>
        <w:rPr>
          <w:spacing w:val="34"/>
          <w:sz w:val="22"/>
        </w:rPr>
        <w:t> </w:t>
      </w:r>
      <w:r>
        <w:rPr>
          <w:sz w:val="22"/>
        </w:rPr>
        <w:t>insurance</w:t>
      </w:r>
      <w:r>
        <w:rPr>
          <w:spacing w:val="32"/>
          <w:sz w:val="22"/>
        </w:rPr>
        <w:t> </w:t>
      </w:r>
      <w:r>
        <w:rPr>
          <w:sz w:val="22"/>
        </w:rPr>
        <w:t>requirements</w:t>
      </w:r>
      <w:r>
        <w:rPr>
          <w:spacing w:val="35"/>
          <w:sz w:val="22"/>
        </w:rPr>
        <w:t> </w:t>
      </w:r>
      <w:r>
        <w:rPr>
          <w:sz w:val="22"/>
        </w:rPr>
        <w:t>in</w:t>
      </w:r>
      <w:r>
        <w:rPr>
          <w:spacing w:val="32"/>
          <w:sz w:val="22"/>
        </w:rPr>
        <w:t> </w:t>
      </w:r>
      <w:r>
        <w:rPr>
          <w:sz w:val="22"/>
        </w:rPr>
        <w:t>this</w:t>
      </w:r>
      <w:r>
        <w:rPr>
          <w:spacing w:val="35"/>
          <w:sz w:val="22"/>
        </w:rPr>
        <w:t> </w:t>
      </w:r>
      <w:r>
        <w:rPr>
          <w:sz w:val="22"/>
        </w:rPr>
        <w:t>Agreement,</w:t>
      </w:r>
      <w:r>
        <w:rPr>
          <w:spacing w:val="37"/>
          <w:sz w:val="22"/>
        </w:rPr>
        <w:t> </w:t>
      </w:r>
      <w:r>
        <w:rPr>
          <w:sz w:val="22"/>
        </w:rPr>
        <w:t>including</w:t>
      </w:r>
    </w:p>
    <w:p>
      <w:pPr>
        <w:spacing w:after="0" w:line="228" w:lineRule="auto"/>
        <w:jc w:val="both"/>
        <w:rPr>
          <w:sz w:val="22"/>
        </w:rPr>
        <w:sectPr>
          <w:pgSz w:w="12240" w:h="15840"/>
          <w:pgMar w:header="0" w:footer="1168" w:top="720" w:bottom="1440" w:left="960" w:right="960"/>
        </w:sectPr>
      </w:pPr>
    </w:p>
    <w:p>
      <w:pPr>
        <w:pStyle w:val="BodyText"/>
        <w:spacing w:line="228" w:lineRule="auto" w:before="87"/>
        <w:ind w:left="1200" w:right="481"/>
        <w:jc w:val="both"/>
      </w:pPr>
      <w:r>
        <w:rPr/>
        <w:pict>
          <v:group style="position:absolute;margin-left:26.160002pt;margin-top:26.160002pt;width:561.85pt;height:741.85pt;mso-position-horizontal-relative:page;mso-position-vertical-relative:page;z-index:-253957120" coordorigin="523,523" coordsize="11237,14837">
            <v:line style="position:absolute" from="523,545" to="11674,545" stroked="true" strokeweight="2.159998pt" strokecolor="#000000">
              <v:stroke dashstyle="solid"/>
            </v:line>
            <v:rect style="position:absolute;left:11673;top:523;width:44;height:44" filled="true" fillcolor="#000000" stroked="false">
              <v:fill type="solid"/>
            </v:rect>
            <v:line style="position:absolute" from="545,566" to="545,15317" stroked="true" strokeweight="2.159998pt" strokecolor="#000000">
              <v:stroke dashstyle="solid"/>
            </v:line>
            <v:line style="position:absolute" from="11717,566" to="11717,15274" stroked="true" strokeweight="4.320008pt" strokecolor="#000000">
              <v:stroke dashstyle="solid"/>
            </v:line>
            <v:line style="position:absolute" from="566,15317" to="11674,15317" stroked="true" strokeweight="4.320008pt" strokecolor="#000000">
              <v:stroke dashstyle="solid"/>
            </v:line>
            <v:shape style="position:absolute;left:11673;top:15273;width:87;height:87" coordorigin="11674,15274" coordsize="87,87" path="m11760,15274l11717,15274,11674,15274,11674,15317,11674,15360,11717,15360,11760,15360,11760,15317,11760,15274e" filled="true" fillcolor="#000000" stroked="false">
              <v:path arrowok="t"/>
              <v:fill type="solid"/>
            </v:shape>
            <w10:wrap type="none"/>
          </v:group>
        </w:pict>
      </w:r>
      <w:r>
        <w:rPr/>
        <w:t>limits,</w:t>
      </w:r>
      <w:r>
        <w:rPr>
          <w:spacing w:val="-7"/>
        </w:rPr>
        <w:t> </w:t>
      </w:r>
      <w:r>
        <w:rPr/>
        <w:t>based</w:t>
      </w:r>
      <w:r>
        <w:rPr>
          <w:spacing w:val="-10"/>
        </w:rPr>
        <w:t> </w:t>
      </w:r>
      <w:r>
        <w:rPr/>
        <w:t>on</w:t>
      </w:r>
      <w:r>
        <w:rPr>
          <w:spacing w:val="-12"/>
        </w:rPr>
        <w:t> </w:t>
      </w:r>
      <w:r>
        <w:rPr/>
        <w:t>the</w:t>
      </w:r>
      <w:r>
        <w:rPr>
          <w:spacing w:val="-11"/>
        </w:rPr>
        <w:t> </w:t>
      </w:r>
      <w:r>
        <w:rPr/>
        <w:t>nature</w:t>
      </w:r>
      <w:r>
        <w:rPr>
          <w:spacing w:val="-10"/>
        </w:rPr>
        <w:t> </w:t>
      </w:r>
      <w:r>
        <w:rPr/>
        <w:t>of</w:t>
      </w:r>
      <w:r>
        <w:rPr>
          <w:spacing w:val="-7"/>
        </w:rPr>
        <w:t> </w:t>
      </w:r>
      <w:r>
        <w:rPr/>
        <w:t>the</w:t>
      </w:r>
      <w:r>
        <w:rPr>
          <w:spacing w:val="-10"/>
        </w:rPr>
        <w:t> </w:t>
      </w:r>
      <w:r>
        <w:rPr/>
        <w:t>risk,</w:t>
      </w:r>
      <w:r>
        <w:rPr>
          <w:spacing w:val="-12"/>
        </w:rPr>
        <w:t> </w:t>
      </w:r>
      <w:r>
        <w:rPr/>
        <w:t>prior</w:t>
      </w:r>
      <w:r>
        <w:rPr>
          <w:spacing w:val="-9"/>
        </w:rPr>
        <w:t> </w:t>
      </w:r>
      <w:r>
        <w:rPr/>
        <w:t>experience,</w:t>
      </w:r>
      <w:r>
        <w:rPr>
          <w:spacing w:val="-10"/>
        </w:rPr>
        <w:t> </w:t>
      </w:r>
      <w:r>
        <w:rPr/>
        <w:t>insurer,</w:t>
      </w:r>
      <w:r>
        <w:rPr>
          <w:spacing w:val="-10"/>
        </w:rPr>
        <w:t> </w:t>
      </w:r>
      <w:r>
        <w:rPr/>
        <w:t>coverage,</w:t>
      </w:r>
      <w:r>
        <w:rPr>
          <w:spacing w:val="-6"/>
        </w:rPr>
        <w:t> </w:t>
      </w:r>
      <w:r>
        <w:rPr/>
        <w:t>or</w:t>
      </w:r>
      <w:r>
        <w:rPr>
          <w:spacing w:val="-8"/>
        </w:rPr>
        <w:t> </w:t>
      </w:r>
      <w:r>
        <w:rPr/>
        <w:t>other</w:t>
      </w:r>
      <w:r>
        <w:rPr>
          <w:spacing w:val="-11"/>
        </w:rPr>
        <w:t> </w:t>
      </w:r>
      <w:r>
        <w:rPr/>
        <w:t>special circumstances.</w:t>
      </w:r>
    </w:p>
    <w:p>
      <w:pPr>
        <w:pStyle w:val="ListParagraph"/>
        <w:numPr>
          <w:ilvl w:val="1"/>
          <w:numId w:val="6"/>
        </w:numPr>
        <w:tabs>
          <w:tab w:pos="1200" w:val="left" w:leader="none"/>
        </w:tabs>
        <w:spacing w:line="228" w:lineRule="auto" w:before="119" w:after="0"/>
        <w:ind w:left="1200" w:right="480" w:hanging="344"/>
        <w:jc w:val="both"/>
        <w:rPr>
          <w:sz w:val="22"/>
        </w:rPr>
      </w:pPr>
      <w:r>
        <w:rPr>
          <w:i/>
          <w:sz w:val="22"/>
        </w:rPr>
        <w:t>No</w:t>
      </w:r>
      <w:r>
        <w:rPr>
          <w:i/>
          <w:spacing w:val="-12"/>
          <w:sz w:val="22"/>
        </w:rPr>
        <w:t> </w:t>
      </w:r>
      <w:r>
        <w:rPr>
          <w:i/>
          <w:sz w:val="22"/>
        </w:rPr>
        <w:t>Limitation</w:t>
      </w:r>
      <w:r>
        <w:rPr>
          <w:i/>
          <w:spacing w:val="-10"/>
          <w:sz w:val="22"/>
        </w:rPr>
        <w:t> </w:t>
      </w:r>
      <w:r>
        <w:rPr>
          <w:i/>
          <w:sz w:val="22"/>
        </w:rPr>
        <w:t>of</w:t>
      </w:r>
      <w:r>
        <w:rPr>
          <w:i/>
          <w:spacing w:val="-12"/>
          <w:sz w:val="22"/>
        </w:rPr>
        <w:t> </w:t>
      </w:r>
      <w:r>
        <w:rPr>
          <w:i/>
          <w:sz w:val="22"/>
        </w:rPr>
        <w:t>Obligations</w:t>
      </w:r>
      <w:r>
        <w:rPr>
          <w:sz w:val="22"/>
        </w:rPr>
        <w:t>.</w:t>
      </w:r>
      <w:r>
        <w:rPr>
          <w:spacing w:val="39"/>
          <w:sz w:val="22"/>
        </w:rPr>
        <w:t> </w:t>
      </w:r>
      <w:r>
        <w:rPr>
          <w:sz w:val="22"/>
        </w:rPr>
        <w:t>The</w:t>
      </w:r>
      <w:r>
        <w:rPr>
          <w:spacing w:val="-10"/>
          <w:sz w:val="22"/>
        </w:rPr>
        <w:t> </w:t>
      </w:r>
      <w:r>
        <w:rPr>
          <w:sz w:val="22"/>
        </w:rPr>
        <w:t>insurance</w:t>
      </w:r>
      <w:r>
        <w:rPr>
          <w:spacing w:val="-11"/>
          <w:sz w:val="22"/>
        </w:rPr>
        <w:t> </w:t>
      </w:r>
      <w:r>
        <w:rPr>
          <w:sz w:val="22"/>
        </w:rPr>
        <w:t>requirements</w:t>
      </w:r>
      <w:r>
        <w:rPr>
          <w:spacing w:val="-9"/>
          <w:sz w:val="22"/>
        </w:rPr>
        <w:t> </w:t>
      </w:r>
      <w:r>
        <w:rPr>
          <w:sz w:val="22"/>
        </w:rPr>
        <w:t>in</w:t>
      </w:r>
      <w:r>
        <w:rPr>
          <w:spacing w:val="-12"/>
          <w:sz w:val="22"/>
        </w:rPr>
        <w:t> </w:t>
      </w:r>
      <w:r>
        <w:rPr>
          <w:sz w:val="22"/>
        </w:rPr>
        <w:t>this</w:t>
      </w:r>
      <w:r>
        <w:rPr>
          <w:spacing w:val="-10"/>
          <w:sz w:val="22"/>
        </w:rPr>
        <w:t> </w:t>
      </w:r>
      <w:r>
        <w:rPr>
          <w:sz w:val="22"/>
        </w:rPr>
        <w:t>Agreement,</w:t>
      </w:r>
      <w:r>
        <w:rPr>
          <w:spacing w:val="-11"/>
          <w:sz w:val="22"/>
        </w:rPr>
        <w:t> </w:t>
      </w:r>
      <w:r>
        <w:rPr>
          <w:sz w:val="22"/>
        </w:rPr>
        <w:t>including</w:t>
      </w:r>
      <w:r>
        <w:rPr>
          <w:spacing w:val="-11"/>
          <w:sz w:val="22"/>
        </w:rPr>
        <w:t> </w:t>
      </w:r>
      <w:r>
        <w:rPr>
          <w:sz w:val="22"/>
        </w:rPr>
        <w:t>the types and limits of insurance coverage TPA must maintain, and any approval of such insurance</w:t>
      </w:r>
      <w:r>
        <w:rPr>
          <w:spacing w:val="-3"/>
          <w:sz w:val="22"/>
        </w:rPr>
        <w:t> </w:t>
      </w:r>
      <w:r>
        <w:rPr>
          <w:sz w:val="22"/>
        </w:rPr>
        <w:t>by</w:t>
      </w:r>
      <w:r>
        <w:rPr>
          <w:spacing w:val="-4"/>
          <w:sz w:val="22"/>
        </w:rPr>
        <w:t> </w:t>
      </w:r>
      <w:r>
        <w:rPr>
          <w:sz w:val="22"/>
        </w:rPr>
        <w:t>the</w:t>
      </w:r>
      <w:r>
        <w:rPr>
          <w:spacing w:val="-3"/>
          <w:sz w:val="22"/>
        </w:rPr>
        <w:t> </w:t>
      </w:r>
      <w:r>
        <w:rPr>
          <w:sz w:val="22"/>
        </w:rPr>
        <w:t>CITY,</w:t>
      </w:r>
      <w:r>
        <w:rPr>
          <w:spacing w:val="-2"/>
          <w:sz w:val="22"/>
        </w:rPr>
        <w:t> </w:t>
      </w:r>
      <w:r>
        <w:rPr>
          <w:sz w:val="22"/>
        </w:rPr>
        <w:t>are</w:t>
      </w:r>
      <w:r>
        <w:rPr>
          <w:spacing w:val="-4"/>
          <w:sz w:val="22"/>
        </w:rPr>
        <w:t> </w:t>
      </w:r>
      <w:r>
        <w:rPr>
          <w:sz w:val="22"/>
        </w:rPr>
        <w:t>not</w:t>
      </w:r>
      <w:r>
        <w:rPr>
          <w:spacing w:val="-4"/>
          <w:sz w:val="22"/>
        </w:rPr>
        <w:t> </w:t>
      </w:r>
      <w:r>
        <w:rPr>
          <w:sz w:val="22"/>
        </w:rPr>
        <w:t>intended</w:t>
      </w:r>
      <w:r>
        <w:rPr>
          <w:spacing w:val="-5"/>
          <w:sz w:val="22"/>
        </w:rPr>
        <w:t> </w:t>
      </w:r>
      <w:r>
        <w:rPr>
          <w:sz w:val="22"/>
        </w:rPr>
        <w:t>to</w:t>
      </w:r>
      <w:r>
        <w:rPr>
          <w:spacing w:val="-3"/>
          <w:sz w:val="22"/>
        </w:rPr>
        <w:t> </w:t>
      </w:r>
      <w:r>
        <w:rPr>
          <w:sz w:val="22"/>
        </w:rPr>
        <w:t>and</w:t>
      </w:r>
      <w:r>
        <w:rPr>
          <w:spacing w:val="-3"/>
          <w:sz w:val="22"/>
        </w:rPr>
        <w:t> </w:t>
      </w:r>
      <w:r>
        <w:rPr>
          <w:sz w:val="22"/>
        </w:rPr>
        <w:t>shall</w:t>
      </w:r>
      <w:r>
        <w:rPr>
          <w:spacing w:val="-3"/>
          <w:sz w:val="22"/>
        </w:rPr>
        <w:t> </w:t>
      </w:r>
      <w:r>
        <w:rPr>
          <w:sz w:val="22"/>
        </w:rPr>
        <w:t>not</w:t>
      </w:r>
      <w:r>
        <w:rPr>
          <w:spacing w:val="1"/>
          <w:sz w:val="22"/>
        </w:rPr>
        <w:t> </w:t>
      </w:r>
      <w:r>
        <w:rPr>
          <w:sz w:val="22"/>
        </w:rPr>
        <w:t>in</w:t>
      </w:r>
      <w:r>
        <w:rPr>
          <w:spacing w:val="-4"/>
          <w:sz w:val="22"/>
        </w:rPr>
        <w:t> </w:t>
      </w:r>
      <w:r>
        <w:rPr>
          <w:sz w:val="22"/>
        </w:rPr>
        <w:t>any</w:t>
      </w:r>
      <w:r>
        <w:rPr>
          <w:spacing w:val="-3"/>
          <w:sz w:val="22"/>
        </w:rPr>
        <w:t> </w:t>
      </w:r>
      <w:r>
        <w:rPr>
          <w:sz w:val="22"/>
        </w:rPr>
        <w:t>manner</w:t>
      </w:r>
      <w:r>
        <w:rPr>
          <w:spacing w:val="-2"/>
          <w:sz w:val="22"/>
        </w:rPr>
        <w:t> </w:t>
      </w:r>
      <w:r>
        <w:rPr>
          <w:sz w:val="22"/>
        </w:rPr>
        <w:t>limit</w:t>
      </w:r>
      <w:r>
        <w:rPr>
          <w:spacing w:val="1"/>
          <w:sz w:val="22"/>
        </w:rPr>
        <w:t> </w:t>
      </w:r>
      <w:r>
        <w:rPr>
          <w:sz w:val="22"/>
        </w:rPr>
        <w:t>or</w:t>
      </w:r>
      <w:r>
        <w:rPr>
          <w:spacing w:val="-8"/>
          <w:sz w:val="22"/>
        </w:rPr>
        <w:t> </w:t>
      </w:r>
      <w:r>
        <w:rPr>
          <w:sz w:val="22"/>
        </w:rPr>
        <w:t>qualify</w:t>
      </w:r>
      <w:r>
        <w:rPr>
          <w:spacing w:val="-4"/>
          <w:sz w:val="22"/>
        </w:rPr>
        <w:t> </w:t>
      </w:r>
      <w:r>
        <w:rPr>
          <w:sz w:val="22"/>
        </w:rPr>
        <w:t>the liabilities</w:t>
      </w:r>
      <w:r>
        <w:rPr>
          <w:spacing w:val="-16"/>
          <w:sz w:val="22"/>
        </w:rPr>
        <w:t> </w:t>
      </w:r>
      <w:r>
        <w:rPr>
          <w:sz w:val="22"/>
        </w:rPr>
        <w:t>and</w:t>
      </w:r>
      <w:r>
        <w:rPr>
          <w:spacing w:val="-16"/>
          <w:sz w:val="22"/>
        </w:rPr>
        <w:t> </w:t>
      </w:r>
      <w:r>
        <w:rPr>
          <w:sz w:val="22"/>
        </w:rPr>
        <w:t>obligations</w:t>
      </w:r>
      <w:r>
        <w:rPr>
          <w:spacing w:val="-20"/>
          <w:sz w:val="22"/>
        </w:rPr>
        <w:t> </w:t>
      </w:r>
      <w:r>
        <w:rPr>
          <w:sz w:val="22"/>
        </w:rPr>
        <w:t>otherwise</w:t>
      </w:r>
      <w:r>
        <w:rPr>
          <w:spacing w:val="-16"/>
          <w:sz w:val="22"/>
        </w:rPr>
        <w:t> </w:t>
      </w:r>
      <w:r>
        <w:rPr>
          <w:sz w:val="22"/>
        </w:rPr>
        <w:t>assumed</w:t>
      </w:r>
      <w:r>
        <w:rPr>
          <w:spacing w:val="-17"/>
          <w:sz w:val="22"/>
        </w:rPr>
        <w:t> </w:t>
      </w:r>
      <w:r>
        <w:rPr>
          <w:sz w:val="22"/>
        </w:rPr>
        <w:t>by</w:t>
      </w:r>
      <w:r>
        <w:rPr>
          <w:spacing w:val="-20"/>
          <w:sz w:val="22"/>
        </w:rPr>
        <w:t> </w:t>
      </w:r>
      <w:r>
        <w:rPr>
          <w:sz w:val="22"/>
        </w:rPr>
        <w:t>TPA</w:t>
      </w:r>
      <w:r>
        <w:rPr>
          <w:spacing w:val="-18"/>
          <w:sz w:val="22"/>
        </w:rPr>
        <w:t> </w:t>
      </w:r>
      <w:r>
        <w:rPr>
          <w:sz w:val="22"/>
        </w:rPr>
        <w:t>pursuant</w:t>
      </w:r>
      <w:r>
        <w:rPr>
          <w:spacing w:val="-17"/>
          <w:sz w:val="22"/>
        </w:rPr>
        <w:t> </w:t>
      </w:r>
      <w:r>
        <w:rPr>
          <w:sz w:val="22"/>
        </w:rPr>
        <w:t>to</w:t>
      </w:r>
      <w:r>
        <w:rPr>
          <w:spacing w:val="-20"/>
          <w:sz w:val="22"/>
        </w:rPr>
        <w:t> </w:t>
      </w:r>
      <w:r>
        <w:rPr>
          <w:sz w:val="22"/>
        </w:rPr>
        <w:t>this</w:t>
      </w:r>
      <w:r>
        <w:rPr>
          <w:spacing w:val="-17"/>
          <w:sz w:val="22"/>
        </w:rPr>
        <w:t> </w:t>
      </w:r>
      <w:r>
        <w:rPr>
          <w:sz w:val="22"/>
        </w:rPr>
        <w:t>Agreement,</w:t>
      </w:r>
      <w:r>
        <w:rPr>
          <w:spacing w:val="-16"/>
          <w:sz w:val="22"/>
        </w:rPr>
        <w:t> </w:t>
      </w:r>
      <w:r>
        <w:rPr>
          <w:sz w:val="22"/>
        </w:rPr>
        <w:t>including but not limited to any provisions in this Agreement concerning</w:t>
      </w:r>
      <w:r>
        <w:rPr>
          <w:spacing w:val="-10"/>
          <w:sz w:val="22"/>
        </w:rPr>
        <w:t> </w:t>
      </w:r>
      <w:r>
        <w:rPr>
          <w:sz w:val="22"/>
        </w:rPr>
        <w:t>indemnification.</w:t>
      </w:r>
    </w:p>
    <w:p>
      <w:pPr>
        <w:pStyle w:val="ListParagraph"/>
        <w:numPr>
          <w:ilvl w:val="1"/>
          <w:numId w:val="6"/>
        </w:numPr>
        <w:tabs>
          <w:tab w:pos="1200" w:val="left" w:leader="none"/>
        </w:tabs>
        <w:spacing w:line="228" w:lineRule="auto" w:before="119" w:after="0"/>
        <w:ind w:left="1200" w:right="480" w:hanging="344"/>
        <w:jc w:val="both"/>
        <w:rPr>
          <w:sz w:val="22"/>
        </w:rPr>
      </w:pPr>
      <w:r>
        <w:rPr>
          <w:sz w:val="22"/>
        </w:rPr>
        <w:t>Failure to comply with any of the insurance requirements in this Agreement, including</w:t>
      </w:r>
      <w:r>
        <w:rPr>
          <w:spacing w:val="-31"/>
          <w:sz w:val="22"/>
        </w:rPr>
        <w:t> </w:t>
      </w:r>
      <w:r>
        <w:rPr>
          <w:sz w:val="22"/>
        </w:rPr>
        <w:t>but not limited to a lapse in any required insurance coverage during the term of this Agreement, shall be a material breach of this Agreement. In the event that TPA fails to comply with any such insurance requirements in this Agreement, in addition to any other remedies the CITY may have, the CITY may, at its sole option, (i) immediately terminate this Agreement; or (ii) order TPA to stop work under this Agreement and/or withhold any payment</w:t>
      </w:r>
      <w:r>
        <w:rPr>
          <w:spacing w:val="-11"/>
          <w:sz w:val="22"/>
        </w:rPr>
        <w:t> </w:t>
      </w:r>
      <w:r>
        <w:rPr>
          <w:sz w:val="22"/>
        </w:rPr>
        <w:t>that</w:t>
      </w:r>
      <w:r>
        <w:rPr>
          <w:spacing w:val="-10"/>
          <w:sz w:val="22"/>
        </w:rPr>
        <w:t> </w:t>
      </w:r>
      <w:r>
        <w:rPr>
          <w:sz w:val="22"/>
        </w:rPr>
        <w:t>becomes</w:t>
      </w:r>
      <w:r>
        <w:rPr>
          <w:spacing w:val="-10"/>
          <w:sz w:val="22"/>
        </w:rPr>
        <w:t> </w:t>
      </w:r>
      <w:r>
        <w:rPr>
          <w:sz w:val="22"/>
        </w:rPr>
        <w:t>due</w:t>
      </w:r>
      <w:r>
        <w:rPr>
          <w:spacing w:val="-10"/>
          <w:sz w:val="22"/>
        </w:rPr>
        <w:t> </w:t>
      </w:r>
      <w:r>
        <w:rPr>
          <w:sz w:val="22"/>
        </w:rPr>
        <w:t>to</w:t>
      </w:r>
      <w:r>
        <w:rPr>
          <w:spacing w:val="-12"/>
          <w:sz w:val="22"/>
        </w:rPr>
        <w:t> </w:t>
      </w:r>
      <w:r>
        <w:rPr>
          <w:sz w:val="22"/>
        </w:rPr>
        <w:t>TPA</w:t>
      </w:r>
      <w:r>
        <w:rPr>
          <w:spacing w:val="-11"/>
          <w:sz w:val="22"/>
        </w:rPr>
        <w:t> </w:t>
      </w:r>
      <w:r>
        <w:rPr>
          <w:sz w:val="22"/>
        </w:rPr>
        <w:t>until</w:t>
      </w:r>
      <w:r>
        <w:rPr>
          <w:spacing w:val="-14"/>
          <w:sz w:val="22"/>
        </w:rPr>
        <w:t> </w:t>
      </w:r>
      <w:r>
        <w:rPr>
          <w:sz w:val="22"/>
        </w:rPr>
        <w:t>TPA</w:t>
      </w:r>
      <w:r>
        <w:rPr>
          <w:spacing w:val="-11"/>
          <w:sz w:val="22"/>
        </w:rPr>
        <w:t> </w:t>
      </w:r>
      <w:r>
        <w:rPr>
          <w:sz w:val="22"/>
        </w:rPr>
        <w:t>demonstrates</w:t>
      </w:r>
      <w:r>
        <w:rPr>
          <w:spacing w:val="-11"/>
          <w:sz w:val="22"/>
        </w:rPr>
        <w:t> </w:t>
      </w:r>
      <w:r>
        <w:rPr>
          <w:sz w:val="22"/>
        </w:rPr>
        <w:t>compliance</w:t>
      </w:r>
      <w:r>
        <w:rPr>
          <w:spacing w:val="-10"/>
          <w:sz w:val="22"/>
        </w:rPr>
        <w:t> </w:t>
      </w:r>
      <w:r>
        <w:rPr>
          <w:sz w:val="22"/>
        </w:rPr>
        <w:t>with</w:t>
      </w:r>
      <w:r>
        <w:rPr>
          <w:spacing w:val="-11"/>
          <w:sz w:val="22"/>
        </w:rPr>
        <w:t> </w:t>
      </w:r>
      <w:r>
        <w:rPr>
          <w:sz w:val="22"/>
        </w:rPr>
        <w:t>the</w:t>
      </w:r>
      <w:r>
        <w:rPr>
          <w:spacing w:val="-10"/>
          <w:sz w:val="22"/>
        </w:rPr>
        <w:t> </w:t>
      </w:r>
      <w:r>
        <w:rPr>
          <w:sz w:val="22"/>
        </w:rPr>
        <w:t>insurance requirements in this</w:t>
      </w:r>
      <w:r>
        <w:rPr>
          <w:spacing w:val="-5"/>
          <w:sz w:val="22"/>
        </w:rPr>
        <w:t> </w:t>
      </w:r>
      <w:r>
        <w:rPr>
          <w:sz w:val="22"/>
        </w:rPr>
        <w:t>Agreement.</w:t>
      </w:r>
    </w:p>
    <w:p>
      <w:pPr>
        <w:pStyle w:val="BodyText"/>
        <w:spacing w:before="8"/>
        <w:rPr>
          <w:sz w:val="19"/>
        </w:rPr>
      </w:pPr>
    </w:p>
    <w:p>
      <w:pPr>
        <w:pStyle w:val="ListParagraph"/>
        <w:numPr>
          <w:ilvl w:val="0"/>
          <w:numId w:val="6"/>
        </w:numPr>
        <w:tabs>
          <w:tab w:pos="840" w:val="left" w:leader="none"/>
        </w:tabs>
        <w:spacing w:line="240" w:lineRule="auto" w:before="0" w:after="0"/>
        <w:ind w:left="840" w:right="0" w:hanging="360"/>
        <w:jc w:val="left"/>
        <w:rPr>
          <w:sz w:val="22"/>
        </w:rPr>
      </w:pPr>
      <w:r>
        <w:rPr>
          <w:rFonts w:ascii="Times New Roman"/>
          <w:spacing w:val="-55"/>
          <w:w w:val="100"/>
          <w:sz w:val="22"/>
          <w:u w:val="single"/>
        </w:rPr>
        <w:t> </w:t>
      </w:r>
      <w:r>
        <w:rPr>
          <w:sz w:val="22"/>
          <w:u w:val="single"/>
        </w:rPr>
        <w:t>Indemnification, Duty to Defend, and Hold Harmless</w:t>
      </w:r>
      <w:r>
        <w:rPr>
          <w:sz w:val="22"/>
        </w:rPr>
        <w:t>.</w:t>
      </w:r>
    </w:p>
    <w:p>
      <w:pPr>
        <w:pStyle w:val="BodyText"/>
        <w:spacing w:before="7"/>
        <w:rPr>
          <w:sz w:val="20"/>
        </w:rPr>
      </w:pPr>
    </w:p>
    <w:p>
      <w:pPr>
        <w:pStyle w:val="ListParagraph"/>
        <w:numPr>
          <w:ilvl w:val="1"/>
          <w:numId w:val="6"/>
        </w:numPr>
        <w:tabs>
          <w:tab w:pos="1201" w:val="left" w:leader="none"/>
        </w:tabs>
        <w:spacing w:line="228" w:lineRule="auto" w:before="0" w:after="0"/>
        <w:ind w:left="1200" w:right="478" w:hanging="360"/>
        <w:jc w:val="both"/>
        <w:rPr>
          <w:sz w:val="22"/>
        </w:rPr>
      </w:pPr>
      <w:r>
        <w:rPr>
          <w:sz w:val="22"/>
        </w:rPr>
        <w:t>TPA</w:t>
      </w:r>
      <w:r>
        <w:rPr>
          <w:spacing w:val="-9"/>
          <w:sz w:val="22"/>
        </w:rPr>
        <w:t> </w:t>
      </w:r>
      <w:r>
        <w:rPr>
          <w:sz w:val="22"/>
        </w:rPr>
        <w:t>(including</w:t>
      </w:r>
      <w:r>
        <w:rPr>
          <w:spacing w:val="-8"/>
          <w:sz w:val="22"/>
        </w:rPr>
        <w:t> </w:t>
      </w:r>
      <w:r>
        <w:rPr>
          <w:sz w:val="22"/>
        </w:rPr>
        <w:t>TPA’s</w:t>
      </w:r>
      <w:r>
        <w:rPr>
          <w:spacing w:val="-11"/>
          <w:sz w:val="22"/>
        </w:rPr>
        <w:t> </w:t>
      </w:r>
      <w:r>
        <w:rPr>
          <w:sz w:val="22"/>
        </w:rPr>
        <w:t>agents,</w:t>
      </w:r>
      <w:r>
        <w:rPr>
          <w:spacing w:val="-9"/>
          <w:sz w:val="22"/>
        </w:rPr>
        <w:t> </w:t>
      </w:r>
      <w:r>
        <w:rPr>
          <w:sz w:val="22"/>
        </w:rPr>
        <w:t>employees,</w:t>
      </w:r>
      <w:r>
        <w:rPr>
          <w:spacing w:val="-6"/>
          <w:sz w:val="22"/>
        </w:rPr>
        <w:t> </w:t>
      </w:r>
      <w:r>
        <w:rPr>
          <w:sz w:val="22"/>
        </w:rPr>
        <w:t>and</w:t>
      </w:r>
      <w:r>
        <w:rPr>
          <w:spacing w:val="-9"/>
          <w:sz w:val="22"/>
        </w:rPr>
        <w:t> </w:t>
      </w:r>
      <w:r>
        <w:rPr>
          <w:sz w:val="22"/>
        </w:rPr>
        <w:t>subcontractors,</w:t>
      </w:r>
      <w:r>
        <w:rPr>
          <w:spacing w:val="-9"/>
          <w:sz w:val="22"/>
        </w:rPr>
        <w:t> </w:t>
      </w:r>
      <w:r>
        <w:rPr>
          <w:sz w:val="22"/>
        </w:rPr>
        <w:t>if</w:t>
      </w:r>
      <w:r>
        <w:rPr>
          <w:spacing w:val="-6"/>
          <w:sz w:val="22"/>
        </w:rPr>
        <w:t> </w:t>
      </w:r>
      <w:r>
        <w:rPr>
          <w:sz w:val="22"/>
        </w:rPr>
        <w:t>any)</w:t>
      </w:r>
      <w:r>
        <w:rPr>
          <w:spacing w:val="-7"/>
          <w:sz w:val="22"/>
        </w:rPr>
        <w:t> </w:t>
      </w:r>
      <w:r>
        <w:rPr>
          <w:sz w:val="22"/>
        </w:rPr>
        <w:t>shall</w:t>
      </w:r>
      <w:r>
        <w:rPr>
          <w:spacing w:val="-13"/>
          <w:sz w:val="22"/>
        </w:rPr>
        <w:t> </w:t>
      </w:r>
      <w:r>
        <w:rPr>
          <w:sz w:val="22"/>
        </w:rPr>
        <w:t>hold</w:t>
      </w:r>
      <w:r>
        <w:rPr>
          <w:spacing w:val="-9"/>
          <w:sz w:val="22"/>
        </w:rPr>
        <w:t> </w:t>
      </w:r>
      <w:r>
        <w:rPr>
          <w:sz w:val="22"/>
        </w:rPr>
        <w:t>harmless, defend, and indemnify the CITY, its officials, officers, agents, employees, and volunteers from and against any and all claims, demands, actions, causes of action, proceedings (including</w:t>
      </w:r>
      <w:r>
        <w:rPr>
          <w:spacing w:val="-2"/>
          <w:sz w:val="22"/>
        </w:rPr>
        <w:t> </w:t>
      </w:r>
      <w:r>
        <w:rPr>
          <w:sz w:val="22"/>
        </w:rPr>
        <w:t>but</w:t>
      </w:r>
      <w:r>
        <w:rPr>
          <w:spacing w:val="-5"/>
          <w:sz w:val="22"/>
        </w:rPr>
        <w:t> </w:t>
      </w:r>
      <w:r>
        <w:rPr>
          <w:sz w:val="22"/>
        </w:rPr>
        <w:t>not</w:t>
      </w:r>
      <w:r>
        <w:rPr>
          <w:spacing w:val="-4"/>
          <w:sz w:val="22"/>
        </w:rPr>
        <w:t> </w:t>
      </w:r>
      <w:r>
        <w:rPr>
          <w:sz w:val="22"/>
        </w:rPr>
        <w:t>limited</w:t>
      </w:r>
      <w:r>
        <w:rPr>
          <w:spacing w:val="-8"/>
          <w:sz w:val="22"/>
        </w:rPr>
        <w:t> </w:t>
      </w:r>
      <w:r>
        <w:rPr>
          <w:sz w:val="22"/>
        </w:rPr>
        <w:t>to</w:t>
      </w:r>
      <w:r>
        <w:rPr>
          <w:spacing w:val="-5"/>
          <w:sz w:val="22"/>
        </w:rPr>
        <w:t> </w:t>
      </w:r>
      <w:r>
        <w:rPr>
          <w:sz w:val="22"/>
        </w:rPr>
        <w:t>legal</w:t>
      </w:r>
      <w:r>
        <w:rPr>
          <w:spacing w:val="-4"/>
          <w:sz w:val="22"/>
        </w:rPr>
        <w:t> </w:t>
      </w:r>
      <w:r>
        <w:rPr>
          <w:sz w:val="22"/>
        </w:rPr>
        <w:t>and</w:t>
      </w:r>
      <w:r>
        <w:rPr>
          <w:spacing w:val="-5"/>
          <w:sz w:val="22"/>
        </w:rPr>
        <w:t> </w:t>
      </w:r>
      <w:r>
        <w:rPr>
          <w:sz w:val="22"/>
        </w:rPr>
        <w:t>administrative</w:t>
      </w:r>
      <w:r>
        <w:rPr>
          <w:spacing w:val="-4"/>
          <w:sz w:val="22"/>
        </w:rPr>
        <w:t> </w:t>
      </w:r>
      <w:r>
        <w:rPr>
          <w:sz w:val="22"/>
        </w:rPr>
        <w:t>proceedings</w:t>
      </w:r>
      <w:r>
        <w:rPr>
          <w:spacing w:val="-7"/>
          <w:sz w:val="22"/>
        </w:rPr>
        <w:t> </w:t>
      </w:r>
      <w:r>
        <w:rPr>
          <w:sz w:val="22"/>
        </w:rPr>
        <w:t>of</w:t>
      </w:r>
      <w:r>
        <w:rPr>
          <w:spacing w:val="-1"/>
          <w:sz w:val="22"/>
        </w:rPr>
        <w:t> </w:t>
      </w:r>
      <w:r>
        <w:rPr>
          <w:sz w:val="22"/>
        </w:rPr>
        <w:t>any</w:t>
      </w:r>
      <w:r>
        <w:rPr>
          <w:spacing w:val="-7"/>
          <w:sz w:val="22"/>
        </w:rPr>
        <w:t> </w:t>
      </w:r>
      <w:r>
        <w:rPr>
          <w:sz w:val="22"/>
        </w:rPr>
        <w:t>kind),</w:t>
      </w:r>
      <w:r>
        <w:rPr>
          <w:spacing w:val="-4"/>
          <w:sz w:val="22"/>
        </w:rPr>
        <w:t> </w:t>
      </w:r>
      <w:r>
        <w:rPr>
          <w:sz w:val="22"/>
        </w:rPr>
        <w:t>suits,</w:t>
      </w:r>
      <w:r>
        <w:rPr>
          <w:spacing w:val="-4"/>
          <w:sz w:val="22"/>
        </w:rPr>
        <w:t> </w:t>
      </w:r>
      <w:r>
        <w:rPr>
          <w:sz w:val="22"/>
        </w:rPr>
        <w:t>fines, penalties, judgments, orders, levies, costs, expenses, liabilities, losses, damages, or injuries, in law or equity, including without limitation the payment of all consequential damages</w:t>
      </w:r>
      <w:r>
        <w:rPr>
          <w:spacing w:val="-5"/>
          <w:sz w:val="22"/>
        </w:rPr>
        <w:t> </w:t>
      </w:r>
      <w:r>
        <w:rPr>
          <w:sz w:val="22"/>
        </w:rPr>
        <w:t>and</w:t>
      </w:r>
      <w:r>
        <w:rPr>
          <w:spacing w:val="-6"/>
          <w:sz w:val="22"/>
        </w:rPr>
        <w:t> </w:t>
      </w:r>
      <w:r>
        <w:rPr>
          <w:sz w:val="22"/>
        </w:rPr>
        <w:t>attorney’s</w:t>
      </w:r>
      <w:r>
        <w:rPr>
          <w:spacing w:val="-7"/>
          <w:sz w:val="22"/>
        </w:rPr>
        <w:t> </w:t>
      </w:r>
      <w:r>
        <w:rPr>
          <w:sz w:val="22"/>
        </w:rPr>
        <w:t>fees</w:t>
      </w:r>
      <w:r>
        <w:rPr>
          <w:spacing w:val="-6"/>
          <w:sz w:val="22"/>
        </w:rPr>
        <w:t> </w:t>
      </w:r>
      <w:r>
        <w:rPr>
          <w:sz w:val="22"/>
        </w:rPr>
        <w:t>and</w:t>
      </w:r>
      <w:r>
        <w:rPr>
          <w:spacing w:val="-6"/>
          <w:sz w:val="22"/>
        </w:rPr>
        <w:t> </w:t>
      </w:r>
      <w:r>
        <w:rPr>
          <w:sz w:val="22"/>
        </w:rPr>
        <w:t>other</w:t>
      </w:r>
      <w:r>
        <w:rPr>
          <w:spacing w:val="-8"/>
          <w:sz w:val="22"/>
        </w:rPr>
        <w:t> </w:t>
      </w:r>
      <w:r>
        <w:rPr>
          <w:sz w:val="22"/>
        </w:rPr>
        <w:t>related</w:t>
      </w:r>
      <w:r>
        <w:rPr>
          <w:spacing w:val="-6"/>
          <w:sz w:val="22"/>
        </w:rPr>
        <w:t> </w:t>
      </w:r>
      <w:r>
        <w:rPr>
          <w:sz w:val="22"/>
        </w:rPr>
        <w:t>litigation</w:t>
      </w:r>
      <w:r>
        <w:rPr>
          <w:spacing w:val="-7"/>
          <w:sz w:val="22"/>
        </w:rPr>
        <w:t> </w:t>
      </w:r>
      <w:r>
        <w:rPr>
          <w:sz w:val="22"/>
        </w:rPr>
        <w:t>costs</w:t>
      </w:r>
      <w:r>
        <w:rPr>
          <w:spacing w:val="-10"/>
          <w:sz w:val="22"/>
        </w:rPr>
        <w:t> </w:t>
      </w:r>
      <w:r>
        <w:rPr>
          <w:sz w:val="22"/>
        </w:rPr>
        <w:t>and</w:t>
      </w:r>
      <w:r>
        <w:rPr>
          <w:spacing w:val="-6"/>
          <w:sz w:val="22"/>
        </w:rPr>
        <w:t> </w:t>
      </w:r>
      <w:r>
        <w:rPr>
          <w:sz w:val="22"/>
        </w:rPr>
        <w:t>expenses</w:t>
      </w:r>
      <w:r>
        <w:rPr>
          <w:spacing w:val="-7"/>
          <w:sz w:val="22"/>
        </w:rPr>
        <w:t> </w:t>
      </w:r>
      <w:r>
        <w:rPr>
          <w:sz w:val="22"/>
        </w:rPr>
        <w:t>(collectively, “Claims”), of every nature caused by, arising out of, or in connection with TPA’s performance</w:t>
      </w:r>
      <w:r>
        <w:rPr>
          <w:spacing w:val="-8"/>
          <w:sz w:val="22"/>
        </w:rPr>
        <w:t> </w:t>
      </w:r>
      <w:r>
        <w:rPr>
          <w:sz w:val="22"/>
        </w:rPr>
        <w:t>of</w:t>
      </w:r>
      <w:r>
        <w:rPr>
          <w:spacing w:val="-3"/>
          <w:sz w:val="22"/>
        </w:rPr>
        <w:t> </w:t>
      </w:r>
      <w:r>
        <w:rPr>
          <w:sz w:val="22"/>
        </w:rPr>
        <w:t>the</w:t>
      </w:r>
      <w:r>
        <w:rPr>
          <w:spacing w:val="-8"/>
          <w:sz w:val="22"/>
        </w:rPr>
        <w:t> </w:t>
      </w:r>
      <w:r>
        <w:rPr>
          <w:sz w:val="22"/>
        </w:rPr>
        <w:t>Services</w:t>
      </w:r>
      <w:r>
        <w:rPr>
          <w:spacing w:val="-5"/>
          <w:sz w:val="22"/>
        </w:rPr>
        <w:t> </w:t>
      </w:r>
      <w:r>
        <w:rPr>
          <w:sz w:val="22"/>
        </w:rPr>
        <w:t>or</w:t>
      </w:r>
      <w:r>
        <w:rPr>
          <w:spacing w:val="-8"/>
          <w:sz w:val="22"/>
        </w:rPr>
        <w:t> </w:t>
      </w:r>
      <w:r>
        <w:rPr>
          <w:sz w:val="22"/>
        </w:rPr>
        <w:t>its</w:t>
      </w:r>
      <w:r>
        <w:rPr>
          <w:spacing w:val="-6"/>
          <w:sz w:val="22"/>
        </w:rPr>
        <w:t> </w:t>
      </w:r>
      <w:r>
        <w:rPr>
          <w:sz w:val="22"/>
        </w:rPr>
        <w:t>failure</w:t>
      </w:r>
      <w:r>
        <w:rPr>
          <w:spacing w:val="-9"/>
          <w:sz w:val="22"/>
        </w:rPr>
        <w:t> </w:t>
      </w:r>
      <w:r>
        <w:rPr>
          <w:sz w:val="22"/>
        </w:rPr>
        <w:t>to</w:t>
      </w:r>
      <w:r>
        <w:rPr>
          <w:spacing w:val="-7"/>
          <w:sz w:val="22"/>
        </w:rPr>
        <w:t> </w:t>
      </w:r>
      <w:r>
        <w:rPr>
          <w:sz w:val="22"/>
        </w:rPr>
        <w:t>comply</w:t>
      </w:r>
      <w:r>
        <w:rPr>
          <w:spacing w:val="-6"/>
          <w:sz w:val="22"/>
        </w:rPr>
        <w:t> </w:t>
      </w:r>
      <w:r>
        <w:rPr>
          <w:sz w:val="22"/>
        </w:rPr>
        <w:t>with</w:t>
      </w:r>
      <w:r>
        <w:rPr>
          <w:spacing w:val="-7"/>
          <w:sz w:val="22"/>
        </w:rPr>
        <w:t> </w:t>
      </w:r>
      <w:r>
        <w:rPr>
          <w:sz w:val="22"/>
        </w:rPr>
        <w:t>any</w:t>
      </w:r>
      <w:r>
        <w:rPr>
          <w:spacing w:val="-9"/>
          <w:sz w:val="22"/>
        </w:rPr>
        <w:t> </w:t>
      </w:r>
      <w:r>
        <w:rPr>
          <w:sz w:val="22"/>
        </w:rPr>
        <w:t>of its</w:t>
      </w:r>
      <w:r>
        <w:rPr>
          <w:spacing w:val="-6"/>
          <w:sz w:val="22"/>
        </w:rPr>
        <w:t> </w:t>
      </w:r>
      <w:r>
        <w:rPr>
          <w:sz w:val="22"/>
        </w:rPr>
        <w:t>obligations</w:t>
      </w:r>
      <w:r>
        <w:rPr>
          <w:spacing w:val="-5"/>
          <w:sz w:val="22"/>
        </w:rPr>
        <w:t> </w:t>
      </w:r>
      <w:r>
        <w:rPr>
          <w:sz w:val="22"/>
        </w:rPr>
        <w:t>contained</w:t>
      </w:r>
      <w:r>
        <w:rPr>
          <w:spacing w:val="-5"/>
          <w:sz w:val="22"/>
        </w:rPr>
        <w:t> </w:t>
      </w:r>
      <w:r>
        <w:rPr>
          <w:sz w:val="22"/>
        </w:rPr>
        <w:t>in this Agreement, except where caused by the sole negligence or willful misconduct of the CITY.</w:t>
      </w:r>
    </w:p>
    <w:p>
      <w:pPr>
        <w:pStyle w:val="BodyText"/>
        <w:spacing w:before="7"/>
        <w:rPr>
          <w:sz w:val="20"/>
        </w:rPr>
      </w:pPr>
    </w:p>
    <w:p>
      <w:pPr>
        <w:pStyle w:val="ListParagraph"/>
        <w:numPr>
          <w:ilvl w:val="1"/>
          <w:numId w:val="6"/>
        </w:numPr>
        <w:tabs>
          <w:tab w:pos="1201" w:val="left" w:leader="none"/>
        </w:tabs>
        <w:spacing w:line="228" w:lineRule="auto" w:before="0" w:after="0"/>
        <w:ind w:left="1200" w:right="480" w:hanging="360"/>
        <w:jc w:val="both"/>
        <w:rPr>
          <w:sz w:val="22"/>
        </w:rPr>
      </w:pPr>
      <w:r>
        <w:rPr>
          <w:sz w:val="22"/>
        </w:rPr>
        <w:t>TPA (including TPA’s agents, employees, and subcontractors, </w:t>
      </w:r>
      <w:r>
        <w:rPr>
          <w:spacing w:val="-3"/>
          <w:sz w:val="22"/>
        </w:rPr>
        <w:t>if </w:t>
      </w:r>
      <w:r>
        <w:rPr>
          <w:sz w:val="22"/>
        </w:rPr>
        <w:t>any) shall defend, indemnify, and hold harmless the CITY, its officials, officers, agents, employees, and volunteers</w:t>
      </w:r>
      <w:r>
        <w:rPr>
          <w:spacing w:val="-11"/>
          <w:sz w:val="22"/>
        </w:rPr>
        <w:t> </w:t>
      </w:r>
      <w:r>
        <w:rPr>
          <w:sz w:val="22"/>
        </w:rPr>
        <w:t>from</w:t>
      </w:r>
      <w:r>
        <w:rPr>
          <w:spacing w:val="-11"/>
          <w:sz w:val="22"/>
        </w:rPr>
        <w:t> </w:t>
      </w:r>
      <w:r>
        <w:rPr>
          <w:sz w:val="22"/>
        </w:rPr>
        <w:t>and</w:t>
      </w:r>
      <w:r>
        <w:rPr>
          <w:spacing w:val="-11"/>
          <w:sz w:val="22"/>
        </w:rPr>
        <w:t> </w:t>
      </w:r>
      <w:r>
        <w:rPr>
          <w:sz w:val="22"/>
        </w:rPr>
        <w:t>against</w:t>
      </w:r>
      <w:r>
        <w:rPr>
          <w:spacing w:val="-9"/>
          <w:sz w:val="22"/>
        </w:rPr>
        <w:t> </w:t>
      </w:r>
      <w:r>
        <w:rPr>
          <w:sz w:val="22"/>
        </w:rPr>
        <w:t>any</w:t>
      </w:r>
      <w:r>
        <w:rPr>
          <w:spacing w:val="-10"/>
          <w:sz w:val="22"/>
        </w:rPr>
        <w:t> </w:t>
      </w:r>
      <w:r>
        <w:rPr>
          <w:sz w:val="22"/>
        </w:rPr>
        <w:t>and</w:t>
      </w:r>
      <w:r>
        <w:rPr>
          <w:spacing w:val="-10"/>
          <w:sz w:val="22"/>
        </w:rPr>
        <w:t> </w:t>
      </w:r>
      <w:r>
        <w:rPr>
          <w:sz w:val="22"/>
        </w:rPr>
        <w:t>all</w:t>
      </w:r>
      <w:r>
        <w:rPr>
          <w:spacing w:val="-11"/>
          <w:sz w:val="22"/>
        </w:rPr>
        <w:t> </w:t>
      </w:r>
      <w:r>
        <w:rPr>
          <w:sz w:val="22"/>
        </w:rPr>
        <w:t>Claims</w:t>
      </w:r>
      <w:r>
        <w:rPr>
          <w:spacing w:val="-8"/>
          <w:sz w:val="22"/>
        </w:rPr>
        <w:t> </w:t>
      </w:r>
      <w:r>
        <w:rPr>
          <w:sz w:val="22"/>
        </w:rPr>
        <w:t>caused</w:t>
      </w:r>
      <w:r>
        <w:rPr>
          <w:spacing w:val="-9"/>
          <w:sz w:val="22"/>
        </w:rPr>
        <w:t> </w:t>
      </w:r>
      <w:r>
        <w:rPr>
          <w:sz w:val="22"/>
        </w:rPr>
        <w:t>by,</w:t>
      </w:r>
      <w:r>
        <w:rPr>
          <w:spacing w:val="-6"/>
          <w:sz w:val="22"/>
        </w:rPr>
        <w:t> </w:t>
      </w:r>
      <w:r>
        <w:rPr>
          <w:sz w:val="22"/>
        </w:rPr>
        <w:t>arising</w:t>
      </w:r>
      <w:r>
        <w:rPr>
          <w:spacing w:val="-8"/>
          <w:sz w:val="22"/>
        </w:rPr>
        <w:t> </w:t>
      </w:r>
      <w:r>
        <w:rPr>
          <w:sz w:val="22"/>
        </w:rPr>
        <w:t>under,</w:t>
      </w:r>
      <w:r>
        <w:rPr>
          <w:spacing w:val="-9"/>
          <w:sz w:val="22"/>
        </w:rPr>
        <w:t> </w:t>
      </w:r>
      <w:r>
        <w:rPr>
          <w:sz w:val="22"/>
        </w:rPr>
        <w:t>or</w:t>
      </w:r>
      <w:r>
        <w:rPr>
          <w:spacing w:val="-8"/>
          <w:sz w:val="22"/>
        </w:rPr>
        <w:t> </w:t>
      </w:r>
      <w:r>
        <w:rPr>
          <w:sz w:val="22"/>
        </w:rPr>
        <w:t>resulting</w:t>
      </w:r>
      <w:r>
        <w:rPr>
          <w:spacing w:val="-11"/>
          <w:sz w:val="22"/>
        </w:rPr>
        <w:t> </w:t>
      </w:r>
      <w:r>
        <w:rPr>
          <w:sz w:val="22"/>
        </w:rPr>
        <w:t>from any</w:t>
      </w:r>
      <w:r>
        <w:rPr>
          <w:spacing w:val="-5"/>
          <w:sz w:val="22"/>
        </w:rPr>
        <w:t> </w:t>
      </w:r>
      <w:r>
        <w:rPr>
          <w:sz w:val="22"/>
        </w:rPr>
        <w:t>violation,</w:t>
      </w:r>
      <w:r>
        <w:rPr>
          <w:spacing w:val="-1"/>
          <w:sz w:val="22"/>
        </w:rPr>
        <w:t> </w:t>
      </w:r>
      <w:r>
        <w:rPr>
          <w:sz w:val="22"/>
        </w:rPr>
        <w:t>or</w:t>
      </w:r>
      <w:r>
        <w:rPr>
          <w:spacing w:val="-3"/>
          <w:sz w:val="22"/>
        </w:rPr>
        <w:t> </w:t>
      </w:r>
      <w:r>
        <w:rPr>
          <w:sz w:val="22"/>
        </w:rPr>
        <w:t>claim</w:t>
      </w:r>
      <w:r>
        <w:rPr>
          <w:spacing w:val="-6"/>
          <w:sz w:val="22"/>
        </w:rPr>
        <w:t> </w:t>
      </w:r>
      <w:r>
        <w:rPr>
          <w:sz w:val="22"/>
        </w:rPr>
        <w:t>of</w:t>
      </w:r>
      <w:r>
        <w:rPr>
          <w:spacing w:val="-4"/>
          <w:sz w:val="22"/>
        </w:rPr>
        <w:t> </w:t>
      </w:r>
      <w:r>
        <w:rPr>
          <w:sz w:val="22"/>
        </w:rPr>
        <w:t>violation,</w:t>
      </w:r>
      <w:r>
        <w:rPr>
          <w:spacing w:val="-2"/>
          <w:sz w:val="22"/>
        </w:rPr>
        <w:t> </w:t>
      </w:r>
      <w:r>
        <w:rPr>
          <w:sz w:val="22"/>
        </w:rPr>
        <w:t>of</w:t>
      </w:r>
      <w:r>
        <w:rPr>
          <w:spacing w:val="-1"/>
          <w:sz w:val="22"/>
        </w:rPr>
        <w:t> </w:t>
      </w:r>
      <w:r>
        <w:rPr>
          <w:sz w:val="22"/>
        </w:rPr>
        <w:t>the</w:t>
      </w:r>
      <w:r>
        <w:rPr>
          <w:spacing w:val="-4"/>
          <w:sz w:val="22"/>
        </w:rPr>
        <w:t> </w:t>
      </w:r>
      <w:r>
        <w:rPr>
          <w:sz w:val="22"/>
        </w:rPr>
        <w:t>San</w:t>
      </w:r>
      <w:r>
        <w:rPr>
          <w:spacing w:val="-5"/>
          <w:sz w:val="22"/>
        </w:rPr>
        <w:t> </w:t>
      </w:r>
      <w:r>
        <w:rPr>
          <w:sz w:val="22"/>
        </w:rPr>
        <w:t>Diego</w:t>
      </w:r>
      <w:r>
        <w:rPr>
          <w:spacing w:val="-4"/>
          <w:sz w:val="22"/>
        </w:rPr>
        <w:t> </w:t>
      </w:r>
      <w:r>
        <w:rPr>
          <w:sz w:val="22"/>
        </w:rPr>
        <w:t>Municipal</w:t>
      </w:r>
      <w:r>
        <w:rPr>
          <w:spacing w:val="-4"/>
          <w:sz w:val="22"/>
        </w:rPr>
        <w:t> </w:t>
      </w:r>
      <w:r>
        <w:rPr>
          <w:sz w:val="22"/>
        </w:rPr>
        <w:t>Storm</w:t>
      </w:r>
      <w:r>
        <w:rPr>
          <w:spacing w:val="-8"/>
          <w:sz w:val="22"/>
        </w:rPr>
        <w:t> </w:t>
      </w:r>
      <w:r>
        <w:rPr>
          <w:sz w:val="22"/>
        </w:rPr>
        <w:t>Water</w:t>
      </w:r>
      <w:r>
        <w:rPr>
          <w:spacing w:val="-4"/>
          <w:sz w:val="22"/>
        </w:rPr>
        <w:t> </w:t>
      </w:r>
      <w:r>
        <w:rPr>
          <w:sz w:val="22"/>
        </w:rPr>
        <w:t>Permit</w:t>
      </w:r>
      <w:r>
        <w:rPr>
          <w:spacing w:val="-1"/>
          <w:sz w:val="22"/>
        </w:rPr>
        <w:t> </w:t>
      </w:r>
      <w:r>
        <w:rPr>
          <w:sz w:val="22"/>
        </w:rPr>
        <w:t>(Order No. R9-2013-0001, as amended) of the California Regional Water Quality Control Board, Region 9, San Diego, that the CITY might suffer, incur, or become subject to by reason of,</w:t>
      </w:r>
      <w:r>
        <w:rPr>
          <w:spacing w:val="-8"/>
          <w:sz w:val="22"/>
        </w:rPr>
        <w:t> </w:t>
      </w:r>
      <w:r>
        <w:rPr>
          <w:sz w:val="22"/>
        </w:rPr>
        <w:t>or</w:t>
      </w:r>
      <w:r>
        <w:rPr>
          <w:spacing w:val="-9"/>
          <w:sz w:val="22"/>
        </w:rPr>
        <w:t> </w:t>
      </w:r>
      <w:r>
        <w:rPr>
          <w:sz w:val="22"/>
        </w:rPr>
        <w:t>occurring</w:t>
      </w:r>
      <w:r>
        <w:rPr>
          <w:spacing w:val="-5"/>
          <w:sz w:val="22"/>
        </w:rPr>
        <w:t> </w:t>
      </w:r>
      <w:r>
        <w:rPr>
          <w:sz w:val="22"/>
        </w:rPr>
        <w:t>as</w:t>
      </w:r>
      <w:r>
        <w:rPr>
          <w:spacing w:val="-9"/>
          <w:sz w:val="22"/>
        </w:rPr>
        <w:t> </w:t>
      </w:r>
      <w:r>
        <w:rPr>
          <w:sz w:val="22"/>
        </w:rPr>
        <w:t>a</w:t>
      </w:r>
      <w:r>
        <w:rPr>
          <w:spacing w:val="-9"/>
          <w:sz w:val="22"/>
        </w:rPr>
        <w:t> </w:t>
      </w:r>
      <w:r>
        <w:rPr>
          <w:sz w:val="22"/>
        </w:rPr>
        <w:t>result</w:t>
      </w:r>
      <w:r>
        <w:rPr>
          <w:spacing w:val="-6"/>
          <w:sz w:val="22"/>
        </w:rPr>
        <w:t> </w:t>
      </w:r>
      <w:r>
        <w:rPr>
          <w:sz w:val="22"/>
        </w:rPr>
        <w:t>of,</w:t>
      </w:r>
      <w:r>
        <w:rPr>
          <w:spacing w:val="-6"/>
          <w:sz w:val="22"/>
        </w:rPr>
        <w:t> </w:t>
      </w:r>
      <w:r>
        <w:rPr>
          <w:sz w:val="22"/>
        </w:rPr>
        <w:t>or</w:t>
      </w:r>
      <w:r>
        <w:rPr>
          <w:spacing w:val="-5"/>
          <w:sz w:val="22"/>
        </w:rPr>
        <w:t> </w:t>
      </w:r>
      <w:r>
        <w:rPr>
          <w:sz w:val="22"/>
        </w:rPr>
        <w:t>allegedly</w:t>
      </w:r>
      <w:r>
        <w:rPr>
          <w:spacing w:val="-9"/>
          <w:sz w:val="22"/>
        </w:rPr>
        <w:t> </w:t>
      </w:r>
      <w:r>
        <w:rPr>
          <w:sz w:val="22"/>
        </w:rPr>
        <w:t>caused</w:t>
      </w:r>
      <w:r>
        <w:rPr>
          <w:spacing w:val="-10"/>
          <w:sz w:val="22"/>
        </w:rPr>
        <w:t> </w:t>
      </w:r>
      <w:r>
        <w:rPr>
          <w:sz w:val="22"/>
        </w:rPr>
        <w:t>by,</w:t>
      </w:r>
      <w:r>
        <w:rPr>
          <w:spacing w:val="-3"/>
          <w:sz w:val="22"/>
        </w:rPr>
        <w:t> </w:t>
      </w:r>
      <w:r>
        <w:rPr>
          <w:sz w:val="22"/>
        </w:rPr>
        <w:t>any</w:t>
      </w:r>
      <w:r>
        <w:rPr>
          <w:spacing w:val="-9"/>
          <w:sz w:val="22"/>
        </w:rPr>
        <w:t> </w:t>
      </w:r>
      <w:r>
        <w:rPr>
          <w:sz w:val="22"/>
        </w:rPr>
        <w:t>work</w:t>
      </w:r>
      <w:r>
        <w:rPr>
          <w:spacing w:val="-6"/>
          <w:sz w:val="22"/>
        </w:rPr>
        <w:t> </w:t>
      </w:r>
      <w:r>
        <w:rPr>
          <w:sz w:val="22"/>
        </w:rPr>
        <w:t>performed</w:t>
      </w:r>
      <w:r>
        <w:rPr>
          <w:spacing w:val="-9"/>
          <w:sz w:val="22"/>
        </w:rPr>
        <w:t> </w:t>
      </w:r>
      <w:r>
        <w:rPr>
          <w:sz w:val="22"/>
        </w:rPr>
        <w:t>pursuant</w:t>
      </w:r>
      <w:r>
        <w:rPr>
          <w:spacing w:val="-10"/>
          <w:sz w:val="22"/>
        </w:rPr>
        <w:t> </w:t>
      </w:r>
      <w:r>
        <w:rPr>
          <w:sz w:val="22"/>
        </w:rPr>
        <w:t>to</w:t>
      </w:r>
      <w:r>
        <w:rPr>
          <w:spacing w:val="-9"/>
          <w:sz w:val="22"/>
        </w:rPr>
        <w:t> </w:t>
      </w:r>
      <w:r>
        <w:rPr>
          <w:sz w:val="22"/>
        </w:rPr>
        <w:t>this Agreement.</w:t>
      </w:r>
    </w:p>
    <w:p>
      <w:pPr>
        <w:pStyle w:val="BodyText"/>
        <w:spacing w:before="7"/>
        <w:rPr>
          <w:sz w:val="20"/>
        </w:rPr>
      </w:pPr>
    </w:p>
    <w:p>
      <w:pPr>
        <w:pStyle w:val="ListParagraph"/>
        <w:numPr>
          <w:ilvl w:val="1"/>
          <w:numId w:val="6"/>
        </w:numPr>
        <w:tabs>
          <w:tab w:pos="1200" w:val="left" w:leader="none"/>
        </w:tabs>
        <w:spacing w:line="228" w:lineRule="auto" w:before="0" w:after="0"/>
        <w:ind w:left="1200" w:right="482" w:hanging="360"/>
        <w:jc w:val="both"/>
        <w:rPr>
          <w:sz w:val="22"/>
        </w:rPr>
      </w:pPr>
      <w:r>
        <w:rPr>
          <w:sz w:val="22"/>
        </w:rPr>
        <w:t>All terms and provisions within this Section 9 shall survive the termination of this Agreement.</w:t>
      </w:r>
    </w:p>
    <w:p>
      <w:pPr>
        <w:pStyle w:val="BodyText"/>
        <w:spacing w:before="9"/>
        <w:rPr>
          <w:sz w:val="20"/>
        </w:rPr>
      </w:pPr>
    </w:p>
    <w:p>
      <w:pPr>
        <w:pStyle w:val="ListParagraph"/>
        <w:numPr>
          <w:ilvl w:val="0"/>
          <w:numId w:val="6"/>
        </w:numPr>
        <w:tabs>
          <w:tab w:pos="840" w:val="left" w:leader="none"/>
        </w:tabs>
        <w:spacing w:line="228" w:lineRule="auto" w:before="1" w:after="0"/>
        <w:ind w:left="840" w:right="480" w:hanging="360"/>
        <w:jc w:val="both"/>
        <w:rPr>
          <w:sz w:val="22"/>
        </w:rPr>
      </w:pPr>
      <w:r>
        <w:rPr>
          <w:rFonts w:ascii="Times New Roman" w:hAnsi="Times New Roman"/>
          <w:spacing w:val="-55"/>
          <w:w w:val="100"/>
          <w:sz w:val="22"/>
          <w:u w:val="single"/>
        </w:rPr>
        <w:t> </w:t>
      </w:r>
      <w:r>
        <w:rPr>
          <w:sz w:val="22"/>
          <w:u w:val="single"/>
        </w:rPr>
        <w:t>Anti-Assignment Clause</w:t>
      </w:r>
      <w:r>
        <w:rPr>
          <w:sz w:val="22"/>
        </w:rPr>
        <w:t>. Because the CITY has relied on the particular skills of TPA in entering into this Agreement, TPA shall not assign, delegate, subcontract, or otherwise transfer any duty or right under this Agreement, including as to any portion of the Services, without the CITY’s prior written consent. Any purported assignment, delegation, subcontract, or other transfer made without the CITY’s consent shall be void and ineffective. Unless TPA assigns this entire Agreement, including all rights and duties herein, to a third party with the CITY’s prior written consent, TPA shall be the sole payee under this Agreement. Any and</w:t>
      </w:r>
      <w:r>
        <w:rPr>
          <w:spacing w:val="-29"/>
          <w:sz w:val="22"/>
        </w:rPr>
        <w:t> </w:t>
      </w:r>
      <w:r>
        <w:rPr>
          <w:sz w:val="22"/>
        </w:rPr>
        <w:t>all payments made pursuant to the terms of this Agreement are otherwise not</w:t>
      </w:r>
      <w:r>
        <w:rPr>
          <w:spacing w:val="-18"/>
          <w:sz w:val="22"/>
        </w:rPr>
        <w:t> </w:t>
      </w:r>
      <w:r>
        <w:rPr>
          <w:sz w:val="22"/>
        </w:rPr>
        <w:t>assignable.</w:t>
      </w:r>
    </w:p>
    <w:p>
      <w:pPr>
        <w:pStyle w:val="BodyText"/>
        <w:spacing w:before="7"/>
        <w:rPr>
          <w:sz w:val="20"/>
        </w:rPr>
      </w:pPr>
    </w:p>
    <w:p>
      <w:pPr>
        <w:pStyle w:val="ListParagraph"/>
        <w:numPr>
          <w:ilvl w:val="0"/>
          <w:numId w:val="6"/>
        </w:numPr>
        <w:tabs>
          <w:tab w:pos="840" w:val="left" w:leader="none"/>
        </w:tabs>
        <w:spacing w:line="228" w:lineRule="auto" w:before="0" w:after="0"/>
        <w:ind w:left="840" w:right="481" w:hanging="360"/>
        <w:jc w:val="both"/>
        <w:rPr>
          <w:sz w:val="22"/>
        </w:rPr>
      </w:pPr>
      <w:r>
        <w:rPr>
          <w:rFonts w:ascii="Times New Roman" w:hAnsi="Times New Roman"/>
          <w:spacing w:val="-55"/>
          <w:w w:val="100"/>
          <w:sz w:val="22"/>
          <w:u w:val="single"/>
        </w:rPr>
        <w:t> </w:t>
      </w:r>
      <w:r>
        <w:rPr>
          <w:sz w:val="22"/>
          <w:u w:val="single"/>
        </w:rPr>
        <w:t>Attorney's Fees and Costs</w:t>
      </w:r>
      <w:r>
        <w:rPr>
          <w:sz w:val="22"/>
        </w:rPr>
        <w:t>. In any action to enforce the terms and conditions of this Agreement, the prevailing party shall be entitled to reasonable attorney’s fees and</w:t>
      </w:r>
      <w:r>
        <w:rPr>
          <w:spacing w:val="-16"/>
          <w:sz w:val="22"/>
        </w:rPr>
        <w:t> </w:t>
      </w:r>
      <w:r>
        <w:rPr>
          <w:sz w:val="22"/>
        </w:rPr>
        <w:t>costs.</w:t>
      </w:r>
    </w:p>
    <w:p>
      <w:pPr>
        <w:spacing w:after="0" w:line="228" w:lineRule="auto"/>
        <w:jc w:val="both"/>
        <w:rPr>
          <w:sz w:val="22"/>
        </w:rPr>
        <w:sectPr>
          <w:pgSz w:w="12240" w:h="15840"/>
          <w:pgMar w:header="0" w:footer="1168" w:top="720" w:bottom="1440" w:left="960" w:right="960"/>
        </w:sectPr>
      </w:pPr>
    </w:p>
    <w:p>
      <w:pPr>
        <w:pStyle w:val="ListParagraph"/>
        <w:numPr>
          <w:ilvl w:val="0"/>
          <w:numId w:val="6"/>
        </w:numPr>
        <w:tabs>
          <w:tab w:pos="840" w:val="left" w:leader="none"/>
        </w:tabs>
        <w:spacing w:line="228" w:lineRule="auto" w:before="87" w:after="0"/>
        <w:ind w:left="840" w:right="485" w:hanging="360"/>
        <w:jc w:val="both"/>
        <w:rPr>
          <w:sz w:val="22"/>
        </w:rPr>
      </w:pPr>
      <w:r>
        <w:rPr/>
        <w:pict>
          <v:group style="position:absolute;margin-left:26.160002pt;margin-top:26.160002pt;width:561.85pt;height:741.85pt;mso-position-horizontal-relative:page;mso-position-vertical-relative:page;z-index:-253956096" coordorigin="523,523" coordsize="11237,14837">
            <v:line style="position:absolute" from="523,545" to="11674,545" stroked="true" strokeweight="2.159998pt" strokecolor="#000000">
              <v:stroke dashstyle="solid"/>
            </v:line>
            <v:rect style="position:absolute;left:11673;top:523;width:44;height:44" filled="true" fillcolor="#000000" stroked="false">
              <v:fill type="solid"/>
            </v:rect>
            <v:line style="position:absolute" from="545,566" to="545,15317" stroked="true" strokeweight="2.159998pt" strokecolor="#000000">
              <v:stroke dashstyle="solid"/>
            </v:line>
            <v:line style="position:absolute" from="11717,566" to="11717,15274" stroked="true" strokeweight="4.320008pt" strokecolor="#000000">
              <v:stroke dashstyle="solid"/>
            </v:line>
            <v:line style="position:absolute" from="566,15317" to="11674,15317" stroked="true" strokeweight="4.320008pt" strokecolor="#000000">
              <v:stroke dashstyle="solid"/>
            </v:line>
            <v:shape style="position:absolute;left:11673;top:15273;width:87;height:87" coordorigin="11674,15274" coordsize="87,87" path="m11760,15274l11717,15274,11674,15274,11674,15317,11674,15360,11717,15360,11760,15360,11760,15317,11760,15274e" filled="true" fillcolor="#000000" stroked="false">
              <v:path arrowok="t"/>
              <v:fill type="solid"/>
            </v:shape>
            <w10:wrap type="none"/>
          </v:group>
        </w:pict>
      </w:r>
      <w:r>
        <w:rPr>
          <w:rFonts w:ascii="Times New Roman"/>
          <w:spacing w:val="-55"/>
          <w:w w:val="100"/>
          <w:sz w:val="22"/>
          <w:u w:val="single"/>
        </w:rPr>
        <w:t> </w:t>
      </w:r>
      <w:r>
        <w:rPr>
          <w:sz w:val="22"/>
          <w:u w:val="single"/>
        </w:rPr>
        <w:t>Independent Contractor</w:t>
      </w:r>
      <w:r>
        <w:rPr>
          <w:sz w:val="22"/>
        </w:rPr>
        <w:t>. CONSULTANT is an independent contractor, and no agency or employment relationship is created by the execution of this</w:t>
      </w:r>
      <w:r>
        <w:rPr>
          <w:spacing w:val="-8"/>
          <w:sz w:val="22"/>
        </w:rPr>
        <w:t> </w:t>
      </w:r>
      <w:r>
        <w:rPr>
          <w:sz w:val="22"/>
        </w:rPr>
        <w:t>Agreement.</w:t>
      </w:r>
    </w:p>
    <w:p>
      <w:pPr>
        <w:pStyle w:val="BodyText"/>
        <w:spacing w:before="9"/>
        <w:rPr>
          <w:sz w:val="20"/>
        </w:rPr>
      </w:pPr>
    </w:p>
    <w:p>
      <w:pPr>
        <w:pStyle w:val="ListParagraph"/>
        <w:numPr>
          <w:ilvl w:val="0"/>
          <w:numId w:val="6"/>
        </w:numPr>
        <w:tabs>
          <w:tab w:pos="840" w:val="left" w:leader="none"/>
        </w:tabs>
        <w:spacing w:line="228" w:lineRule="auto" w:before="0" w:after="0"/>
        <w:ind w:left="840" w:right="479" w:hanging="360"/>
        <w:jc w:val="both"/>
        <w:rPr>
          <w:sz w:val="22"/>
        </w:rPr>
      </w:pPr>
      <w:r>
        <w:rPr>
          <w:rFonts w:ascii="Times New Roman"/>
          <w:spacing w:val="-55"/>
          <w:w w:val="100"/>
          <w:sz w:val="22"/>
          <w:u w:val="single"/>
        </w:rPr>
        <w:t> </w:t>
      </w:r>
      <w:r>
        <w:rPr>
          <w:sz w:val="22"/>
          <w:u w:val="single"/>
        </w:rPr>
        <w:t>Amendment</w:t>
      </w:r>
      <w:r>
        <w:rPr>
          <w:sz w:val="22"/>
        </w:rPr>
        <w:t>. This Agreement shall not be amended except in a writing signed by the CITY and</w:t>
      </w:r>
      <w:r>
        <w:rPr>
          <w:spacing w:val="-2"/>
          <w:sz w:val="22"/>
        </w:rPr>
        <w:t> </w:t>
      </w:r>
      <w:r>
        <w:rPr>
          <w:sz w:val="22"/>
        </w:rPr>
        <w:t>TPA.</w:t>
      </w:r>
    </w:p>
    <w:p>
      <w:pPr>
        <w:pStyle w:val="BodyText"/>
        <w:spacing w:before="9"/>
        <w:rPr>
          <w:sz w:val="20"/>
        </w:rPr>
      </w:pPr>
    </w:p>
    <w:p>
      <w:pPr>
        <w:pStyle w:val="ListParagraph"/>
        <w:numPr>
          <w:ilvl w:val="0"/>
          <w:numId w:val="6"/>
        </w:numPr>
        <w:tabs>
          <w:tab w:pos="840" w:val="left" w:leader="none"/>
        </w:tabs>
        <w:spacing w:line="228" w:lineRule="auto" w:before="1" w:after="0"/>
        <w:ind w:left="840" w:right="479" w:hanging="360"/>
        <w:jc w:val="both"/>
        <w:rPr>
          <w:sz w:val="22"/>
        </w:rPr>
      </w:pPr>
      <w:r>
        <w:rPr>
          <w:rFonts w:ascii="Times New Roman"/>
          <w:spacing w:val="-55"/>
          <w:w w:val="100"/>
          <w:sz w:val="22"/>
          <w:u w:val="single"/>
        </w:rPr>
        <w:t> </w:t>
      </w:r>
      <w:r>
        <w:rPr>
          <w:sz w:val="22"/>
          <w:u w:val="single"/>
        </w:rPr>
        <w:t>Merger Clause</w:t>
      </w:r>
      <w:r>
        <w:rPr>
          <w:sz w:val="22"/>
        </w:rPr>
        <w:t>. This Agreement, together with its attachments or other documents</w:t>
      </w:r>
      <w:r>
        <w:rPr>
          <w:spacing w:val="-41"/>
          <w:sz w:val="22"/>
        </w:rPr>
        <w:t> </w:t>
      </w:r>
      <w:r>
        <w:rPr>
          <w:sz w:val="22"/>
        </w:rPr>
        <w:t>described or</w:t>
      </w:r>
      <w:r>
        <w:rPr>
          <w:spacing w:val="-10"/>
          <w:sz w:val="22"/>
        </w:rPr>
        <w:t> </w:t>
      </w:r>
      <w:r>
        <w:rPr>
          <w:sz w:val="22"/>
        </w:rPr>
        <w:t>incorporated</w:t>
      </w:r>
      <w:r>
        <w:rPr>
          <w:spacing w:val="-12"/>
          <w:sz w:val="22"/>
        </w:rPr>
        <w:t> </w:t>
      </w:r>
      <w:r>
        <w:rPr>
          <w:sz w:val="22"/>
        </w:rPr>
        <w:t>herein,</w:t>
      </w:r>
      <w:r>
        <w:rPr>
          <w:spacing w:val="-8"/>
          <w:sz w:val="22"/>
        </w:rPr>
        <w:t> </w:t>
      </w:r>
      <w:r>
        <w:rPr>
          <w:spacing w:val="-3"/>
          <w:sz w:val="22"/>
        </w:rPr>
        <w:t>if</w:t>
      </w:r>
      <w:r>
        <w:rPr>
          <w:spacing w:val="-12"/>
          <w:sz w:val="22"/>
        </w:rPr>
        <w:t> </w:t>
      </w:r>
      <w:r>
        <w:rPr>
          <w:sz w:val="22"/>
        </w:rPr>
        <w:t>any,</w:t>
      </w:r>
      <w:r>
        <w:rPr>
          <w:spacing w:val="-11"/>
          <w:sz w:val="22"/>
        </w:rPr>
        <w:t> </w:t>
      </w:r>
      <w:r>
        <w:rPr>
          <w:sz w:val="22"/>
        </w:rPr>
        <w:t>constitutes</w:t>
      </w:r>
      <w:r>
        <w:rPr>
          <w:spacing w:val="-13"/>
          <w:sz w:val="22"/>
        </w:rPr>
        <w:t> </w:t>
      </w:r>
      <w:r>
        <w:rPr>
          <w:sz w:val="22"/>
        </w:rPr>
        <w:t>the</w:t>
      </w:r>
      <w:r>
        <w:rPr>
          <w:spacing w:val="-13"/>
          <w:sz w:val="22"/>
        </w:rPr>
        <w:t> </w:t>
      </w:r>
      <w:r>
        <w:rPr>
          <w:sz w:val="22"/>
        </w:rPr>
        <w:t>entire</w:t>
      </w:r>
      <w:r>
        <w:rPr>
          <w:spacing w:val="-12"/>
          <w:sz w:val="22"/>
        </w:rPr>
        <w:t> </w:t>
      </w:r>
      <w:r>
        <w:rPr>
          <w:sz w:val="22"/>
        </w:rPr>
        <w:t>agreement</w:t>
      </w:r>
      <w:r>
        <w:rPr>
          <w:spacing w:val="-12"/>
          <w:sz w:val="22"/>
        </w:rPr>
        <w:t> </w:t>
      </w:r>
      <w:r>
        <w:rPr>
          <w:sz w:val="22"/>
        </w:rPr>
        <w:t>and</w:t>
      </w:r>
      <w:r>
        <w:rPr>
          <w:spacing w:val="-11"/>
          <w:sz w:val="22"/>
        </w:rPr>
        <w:t> </w:t>
      </w:r>
      <w:r>
        <w:rPr>
          <w:sz w:val="22"/>
        </w:rPr>
        <w:t>understanding</w:t>
      </w:r>
      <w:r>
        <w:rPr>
          <w:spacing w:val="-8"/>
          <w:sz w:val="22"/>
        </w:rPr>
        <w:t> </w:t>
      </w:r>
      <w:r>
        <w:rPr>
          <w:sz w:val="22"/>
        </w:rPr>
        <w:t>of</w:t>
      </w:r>
      <w:r>
        <w:rPr>
          <w:spacing w:val="-13"/>
          <w:sz w:val="22"/>
        </w:rPr>
        <w:t> </w:t>
      </w:r>
      <w:r>
        <w:rPr>
          <w:sz w:val="22"/>
        </w:rPr>
        <w:t>the</w:t>
      </w:r>
      <w:r>
        <w:rPr>
          <w:spacing w:val="-11"/>
          <w:sz w:val="22"/>
        </w:rPr>
        <w:t> </w:t>
      </w:r>
      <w:r>
        <w:rPr>
          <w:sz w:val="22"/>
        </w:rPr>
        <w:t>CITY and TPA concerning the subject of this Agreement and supersedes and replaces all prior negotiations, understandings, or proposed agreements, written or oral, except as otherwise provided herein. In the event of any conflict between the provisions of this Agreement and any of its attachments or related documents, </w:t>
      </w:r>
      <w:r>
        <w:rPr>
          <w:spacing w:val="-3"/>
          <w:sz w:val="22"/>
        </w:rPr>
        <w:t>if </w:t>
      </w:r>
      <w:r>
        <w:rPr>
          <w:sz w:val="22"/>
        </w:rPr>
        <w:t>any, the provisions of this Agreement shall prevail.</w:t>
      </w:r>
    </w:p>
    <w:p>
      <w:pPr>
        <w:pStyle w:val="BodyText"/>
        <w:spacing w:before="7"/>
        <w:rPr>
          <w:sz w:val="20"/>
        </w:rPr>
      </w:pPr>
    </w:p>
    <w:p>
      <w:pPr>
        <w:pStyle w:val="ListParagraph"/>
        <w:numPr>
          <w:ilvl w:val="0"/>
          <w:numId w:val="6"/>
        </w:numPr>
        <w:tabs>
          <w:tab w:pos="840" w:val="left" w:leader="none"/>
        </w:tabs>
        <w:spacing w:line="228" w:lineRule="auto" w:before="0" w:after="0"/>
        <w:ind w:left="840" w:right="481" w:hanging="360"/>
        <w:jc w:val="both"/>
        <w:rPr>
          <w:sz w:val="22"/>
        </w:rPr>
      </w:pPr>
      <w:r>
        <w:rPr>
          <w:rFonts w:ascii="Times New Roman"/>
          <w:spacing w:val="-55"/>
          <w:w w:val="100"/>
          <w:sz w:val="22"/>
          <w:u w:val="single"/>
        </w:rPr>
        <w:t> </w:t>
      </w:r>
      <w:r>
        <w:rPr>
          <w:sz w:val="22"/>
          <w:u w:val="single"/>
        </w:rPr>
        <w:t>Anti-Waiver Clause</w:t>
      </w:r>
      <w:r>
        <w:rPr>
          <w:sz w:val="22"/>
        </w:rPr>
        <w:t>. None of the provisions of this Agreement shall be waived by CITY because</w:t>
      </w:r>
      <w:r>
        <w:rPr>
          <w:spacing w:val="-14"/>
          <w:sz w:val="22"/>
        </w:rPr>
        <w:t> </w:t>
      </w:r>
      <w:r>
        <w:rPr>
          <w:sz w:val="22"/>
        </w:rPr>
        <w:t>of</w:t>
      </w:r>
      <w:r>
        <w:rPr>
          <w:spacing w:val="-14"/>
          <w:sz w:val="22"/>
        </w:rPr>
        <w:t> </w:t>
      </w:r>
      <w:r>
        <w:rPr>
          <w:sz w:val="22"/>
        </w:rPr>
        <w:t>previous</w:t>
      </w:r>
      <w:r>
        <w:rPr>
          <w:spacing w:val="-15"/>
          <w:sz w:val="22"/>
        </w:rPr>
        <w:t> </w:t>
      </w:r>
      <w:r>
        <w:rPr>
          <w:sz w:val="22"/>
        </w:rPr>
        <w:t>failure</w:t>
      </w:r>
      <w:r>
        <w:rPr>
          <w:spacing w:val="-16"/>
          <w:sz w:val="22"/>
        </w:rPr>
        <w:t> </w:t>
      </w:r>
      <w:r>
        <w:rPr>
          <w:sz w:val="22"/>
        </w:rPr>
        <w:t>to</w:t>
      </w:r>
      <w:r>
        <w:rPr>
          <w:spacing w:val="-14"/>
          <w:sz w:val="22"/>
        </w:rPr>
        <w:t> </w:t>
      </w:r>
      <w:r>
        <w:rPr>
          <w:sz w:val="22"/>
        </w:rPr>
        <w:t>insist</w:t>
      </w:r>
      <w:r>
        <w:rPr>
          <w:spacing w:val="-13"/>
          <w:sz w:val="22"/>
        </w:rPr>
        <w:t> </w:t>
      </w:r>
      <w:r>
        <w:rPr>
          <w:sz w:val="22"/>
        </w:rPr>
        <w:t>upon</w:t>
      </w:r>
      <w:r>
        <w:rPr>
          <w:spacing w:val="-17"/>
          <w:sz w:val="22"/>
        </w:rPr>
        <w:t> </w:t>
      </w:r>
      <w:r>
        <w:rPr>
          <w:sz w:val="22"/>
        </w:rPr>
        <w:t>strict</w:t>
      </w:r>
      <w:r>
        <w:rPr>
          <w:spacing w:val="-15"/>
          <w:sz w:val="22"/>
        </w:rPr>
        <w:t> </w:t>
      </w:r>
      <w:r>
        <w:rPr>
          <w:sz w:val="22"/>
        </w:rPr>
        <w:t>performance,</w:t>
      </w:r>
      <w:r>
        <w:rPr>
          <w:spacing w:val="-16"/>
          <w:sz w:val="22"/>
        </w:rPr>
        <w:t> </w:t>
      </w:r>
      <w:r>
        <w:rPr>
          <w:sz w:val="22"/>
        </w:rPr>
        <w:t>nor</w:t>
      </w:r>
      <w:r>
        <w:rPr>
          <w:spacing w:val="-12"/>
          <w:sz w:val="22"/>
        </w:rPr>
        <w:t> </w:t>
      </w:r>
      <w:r>
        <w:rPr>
          <w:sz w:val="22"/>
        </w:rPr>
        <w:t>shall</w:t>
      </w:r>
      <w:r>
        <w:rPr>
          <w:spacing w:val="-16"/>
          <w:sz w:val="22"/>
        </w:rPr>
        <w:t> </w:t>
      </w:r>
      <w:r>
        <w:rPr>
          <w:sz w:val="22"/>
        </w:rPr>
        <w:t>any</w:t>
      </w:r>
      <w:r>
        <w:rPr>
          <w:spacing w:val="-16"/>
          <w:sz w:val="22"/>
        </w:rPr>
        <w:t> </w:t>
      </w:r>
      <w:r>
        <w:rPr>
          <w:sz w:val="22"/>
        </w:rPr>
        <w:t>provision</w:t>
      </w:r>
      <w:r>
        <w:rPr>
          <w:spacing w:val="-14"/>
          <w:sz w:val="22"/>
        </w:rPr>
        <w:t> </w:t>
      </w:r>
      <w:r>
        <w:rPr>
          <w:sz w:val="22"/>
        </w:rPr>
        <w:t>be</w:t>
      </w:r>
      <w:r>
        <w:rPr>
          <w:spacing w:val="-13"/>
          <w:sz w:val="22"/>
        </w:rPr>
        <w:t> </w:t>
      </w:r>
      <w:r>
        <w:rPr>
          <w:sz w:val="22"/>
        </w:rPr>
        <w:t>waived because any other provision has been waived by CITY, in whole or in</w:t>
      </w:r>
      <w:r>
        <w:rPr>
          <w:spacing w:val="-9"/>
          <w:sz w:val="22"/>
        </w:rPr>
        <w:t> </w:t>
      </w:r>
      <w:r>
        <w:rPr>
          <w:sz w:val="22"/>
        </w:rPr>
        <w:t>part.</w:t>
      </w:r>
    </w:p>
    <w:p>
      <w:pPr>
        <w:pStyle w:val="BodyText"/>
        <w:spacing w:before="9"/>
        <w:rPr>
          <w:sz w:val="20"/>
        </w:rPr>
      </w:pPr>
    </w:p>
    <w:p>
      <w:pPr>
        <w:pStyle w:val="ListParagraph"/>
        <w:numPr>
          <w:ilvl w:val="0"/>
          <w:numId w:val="6"/>
        </w:numPr>
        <w:tabs>
          <w:tab w:pos="840" w:val="left" w:leader="none"/>
        </w:tabs>
        <w:spacing w:line="228" w:lineRule="auto" w:before="0" w:after="0"/>
        <w:ind w:left="840" w:right="480" w:hanging="360"/>
        <w:jc w:val="both"/>
        <w:rPr>
          <w:sz w:val="22"/>
        </w:rPr>
      </w:pPr>
      <w:r>
        <w:rPr>
          <w:rFonts w:ascii="Times New Roman"/>
          <w:spacing w:val="-55"/>
          <w:w w:val="100"/>
          <w:sz w:val="22"/>
          <w:u w:val="single"/>
        </w:rPr>
        <w:t> </w:t>
      </w:r>
      <w:r>
        <w:rPr>
          <w:sz w:val="22"/>
          <w:u w:val="single"/>
        </w:rPr>
        <w:t>Severability</w:t>
      </w:r>
      <w:r>
        <w:rPr>
          <w:sz w:val="22"/>
        </w:rPr>
        <w:t>. This Agreement shall be performed and shall be enforceable to the full extent allowed by applicable law, and the illegality, invalidity, waiver, or unenforceability of any provision of this Agreement shall not affect the legality, validity, applicability, or enforceability of the remaining provisions of this</w:t>
      </w:r>
      <w:r>
        <w:rPr>
          <w:spacing w:val="1"/>
          <w:sz w:val="22"/>
        </w:rPr>
        <w:t> </w:t>
      </w:r>
      <w:r>
        <w:rPr>
          <w:sz w:val="22"/>
        </w:rPr>
        <w:t>Agreement.</w:t>
      </w:r>
    </w:p>
    <w:p>
      <w:pPr>
        <w:pStyle w:val="BodyText"/>
        <w:spacing w:before="9"/>
        <w:rPr>
          <w:sz w:val="20"/>
        </w:rPr>
      </w:pPr>
    </w:p>
    <w:p>
      <w:pPr>
        <w:pStyle w:val="ListParagraph"/>
        <w:numPr>
          <w:ilvl w:val="0"/>
          <w:numId w:val="6"/>
        </w:numPr>
        <w:tabs>
          <w:tab w:pos="840" w:val="left" w:leader="none"/>
        </w:tabs>
        <w:spacing w:line="228" w:lineRule="auto" w:before="0" w:after="0"/>
        <w:ind w:left="840" w:right="483" w:hanging="360"/>
        <w:jc w:val="both"/>
        <w:rPr>
          <w:sz w:val="22"/>
        </w:rPr>
      </w:pPr>
      <w:r>
        <w:rPr>
          <w:rFonts w:ascii="Times New Roman"/>
          <w:spacing w:val="-55"/>
          <w:w w:val="100"/>
          <w:sz w:val="22"/>
          <w:u w:val="single"/>
        </w:rPr>
        <w:t> </w:t>
      </w:r>
      <w:r>
        <w:rPr>
          <w:sz w:val="22"/>
          <w:u w:val="single"/>
        </w:rPr>
        <w:t>Governing Law</w:t>
      </w:r>
      <w:r>
        <w:rPr>
          <w:sz w:val="22"/>
        </w:rPr>
        <w:t>. This Agreement and all rights and obligations arising out of it shall be construed in accordance with the laws of the State of California. Venue for any action arising from this Agreement shall be conducted only in the state or federal courts of San Diego County,</w:t>
      </w:r>
      <w:r>
        <w:rPr>
          <w:spacing w:val="1"/>
          <w:sz w:val="22"/>
        </w:rPr>
        <w:t> </w:t>
      </w:r>
      <w:r>
        <w:rPr>
          <w:sz w:val="22"/>
        </w:rPr>
        <w:t>California.</w:t>
      </w:r>
    </w:p>
    <w:p>
      <w:pPr>
        <w:pStyle w:val="BodyText"/>
        <w:spacing w:before="9"/>
        <w:rPr>
          <w:sz w:val="20"/>
        </w:rPr>
      </w:pPr>
    </w:p>
    <w:p>
      <w:pPr>
        <w:pStyle w:val="ListParagraph"/>
        <w:numPr>
          <w:ilvl w:val="0"/>
          <w:numId w:val="6"/>
        </w:numPr>
        <w:tabs>
          <w:tab w:pos="840" w:val="left" w:leader="none"/>
        </w:tabs>
        <w:spacing w:line="228" w:lineRule="auto" w:before="0" w:after="0"/>
        <w:ind w:left="840" w:right="479" w:hanging="360"/>
        <w:jc w:val="both"/>
        <w:rPr>
          <w:sz w:val="22"/>
        </w:rPr>
      </w:pPr>
      <w:r>
        <w:rPr>
          <w:rFonts w:ascii="Times New Roman"/>
          <w:spacing w:val="-55"/>
          <w:w w:val="100"/>
          <w:sz w:val="22"/>
          <w:u w:val="single"/>
        </w:rPr>
        <w:t> </w:t>
      </w:r>
      <w:r>
        <w:rPr>
          <w:sz w:val="22"/>
          <w:u w:val="single"/>
        </w:rPr>
        <w:t>Multiple Copies of Agreement/Counterparts</w:t>
      </w:r>
      <w:r>
        <w:rPr>
          <w:sz w:val="22"/>
        </w:rPr>
        <w:t>. This Agreement may be executed on separate counterparts,</w:t>
      </w:r>
      <w:r>
        <w:rPr>
          <w:spacing w:val="-12"/>
          <w:sz w:val="22"/>
        </w:rPr>
        <w:t> </w:t>
      </w:r>
      <w:r>
        <w:rPr>
          <w:sz w:val="22"/>
        </w:rPr>
        <w:t>each</w:t>
      </w:r>
      <w:r>
        <w:rPr>
          <w:spacing w:val="-11"/>
          <w:sz w:val="22"/>
        </w:rPr>
        <w:t> </w:t>
      </w:r>
      <w:r>
        <w:rPr>
          <w:sz w:val="22"/>
        </w:rPr>
        <w:t>of</w:t>
      </w:r>
      <w:r>
        <w:rPr>
          <w:spacing w:val="-8"/>
          <w:sz w:val="22"/>
        </w:rPr>
        <w:t> </w:t>
      </w:r>
      <w:r>
        <w:rPr>
          <w:sz w:val="22"/>
        </w:rPr>
        <w:t>which</w:t>
      </w:r>
      <w:r>
        <w:rPr>
          <w:spacing w:val="-12"/>
          <w:sz w:val="22"/>
        </w:rPr>
        <w:t> </w:t>
      </w:r>
      <w:r>
        <w:rPr>
          <w:sz w:val="22"/>
        </w:rPr>
        <w:t>shall</w:t>
      </w:r>
      <w:r>
        <w:rPr>
          <w:spacing w:val="-13"/>
          <w:sz w:val="22"/>
        </w:rPr>
        <w:t> </w:t>
      </w:r>
      <w:r>
        <w:rPr>
          <w:sz w:val="22"/>
        </w:rPr>
        <w:t>be</w:t>
      </w:r>
      <w:r>
        <w:rPr>
          <w:spacing w:val="-14"/>
          <w:sz w:val="22"/>
        </w:rPr>
        <w:t> </w:t>
      </w:r>
      <w:r>
        <w:rPr>
          <w:sz w:val="22"/>
        </w:rPr>
        <w:t>an</w:t>
      </w:r>
      <w:r>
        <w:rPr>
          <w:spacing w:val="-11"/>
          <w:sz w:val="22"/>
        </w:rPr>
        <w:t> </w:t>
      </w:r>
      <w:r>
        <w:rPr>
          <w:sz w:val="22"/>
        </w:rPr>
        <w:t>original</w:t>
      </w:r>
      <w:r>
        <w:rPr>
          <w:spacing w:val="-11"/>
          <w:sz w:val="22"/>
        </w:rPr>
        <w:t> </w:t>
      </w:r>
      <w:r>
        <w:rPr>
          <w:sz w:val="22"/>
        </w:rPr>
        <w:t>and</w:t>
      </w:r>
      <w:r>
        <w:rPr>
          <w:spacing w:val="-12"/>
          <w:sz w:val="22"/>
        </w:rPr>
        <w:t> </w:t>
      </w:r>
      <w:r>
        <w:rPr>
          <w:sz w:val="22"/>
        </w:rPr>
        <w:t>all</w:t>
      </w:r>
      <w:r>
        <w:rPr>
          <w:spacing w:val="-13"/>
          <w:sz w:val="22"/>
        </w:rPr>
        <w:t> </w:t>
      </w:r>
      <w:r>
        <w:rPr>
          <w:sz w:val="22"/>
        </w:rPr>
        <w:t>of</w:t>
      </w:r>
      <w:r>
        <w:rPr>
          <w:spacing w:val="-11"/>
          <w:sz w:val="22"/>
        </w:rPr>
        <w:t> </w:t>
      </w:r>
      <w:r>
        <w:rPr>
          <w:sz w:val="22"/>
        </w:rPr>
        <w:t>which</w:t>
      </w:r>
      <w:r>
        <w:rPr>
          <w:spacing w:val="-11"/>
          <w:sz w:val="22"/>
        </w:rPr>
        <w:t> </w:t>
      </w:r>
      <w:r>
        <w:rPr>
          <w:sz w:val="22"/>
        </w:rPr>
        <w:t>taken</w:t>
      </w:r>
      <w:r>
        <w:rPr>
          <w:spacing w:val="-13"/>
          <w:sz w:val="22"/>
        </w:rPr>
        <w:t> </w:t>
      </w:r>
      <w:r>
        <w:rPr>
          <w:sz w:val="22"/>
        </w:rPr>
        <w:t>together</w:t>
      </w:r>
      <w:r>
        <w:rPr>
          <w:spacing w:val="-9"/>
          <w:sz w:val="22"/>
        </w:rPr>
        <w:t> </w:t>
      </w:r>
      <w:r>
        <w:rPr>
          <w:sz w:val="22"/>
        </w:rPr>
        <w:t>shall</w:t>
      </w:r>
      <w:r>
        <w:rPr>
          <w:spacing w:val="-13"/>
          <w:sz w:val="22"/>
        </w:rPr>
        <w:t> </w:t>
      </w:r>
      <w:r>
        <w:rPr>
          <w:sz w:val="22"/>
        </w:rPr>
        <w:t>constitute one and the same instrument. Delivery of an executed signature page of this Agreement by electronic means, including an attachment to an email, shall be effective as delivery of an executed original. The Agreement on file in the office of the Escondido City Clerk is the copy of the Agreement that shall take precedence if any differences exist among copies or counterparts of the</w:t>
      </w:r>
      <w:r>
        <w:rPr>
          <w:spacing w:val="-1"/>
          <w:sz w:val="22"/>
        </w:rPr>
        <w:t> </w:t>
      </w:r>
      <w:r>
        <w:rPr>
          <w:sz w:val="22"/>
        </w:rPr>
        <w:t>Agreement.</w:t>
      </w:r>
    </w:p>
    <w:p>
      <w:pPr>
        <w:pStyle w:val="BodyText"/>
        <w:spacing w:before="7"/>
        <w:rPr>
          <w:sz w:val="20"/>
        </w:rPr>
      </w:pPr>
    </w:p>
    <w:p>
      <w:pPr>
        <w:pStyle w:val="ListParagraph"/>
        <w:numPr>
          <w:ilvl w:val="0"/>
          <w:numId w:val="6"/>
        </w:numPr>
        <w:tabs>
          <w:tab w:pos="840" w:val="left" w:leader="none"/>
        </w:tabs>
        <w:spacing w:line="228" w:lineRule="auto" w:before="0" w:after="0"/>
        <w:ind w:left="840" w:right="480" w:hanging="360"/>
        <w:jc w:val="both"/>
        <w:rPr>
          <w:sz w:val="22"/>
        </w:rPr>
      </w:pPr>
      <w:r>
        <w:rPr>
          <w:rFonts w:ascii="Times New Roman"/>
          <w:spacing w:val="-55"/>
          <w:w w:val="100"/>
          <w:sz w:val="22"/>
          <w:u w:val="single"/>
        </w:rPr>
        <w:t> </w:t>
      </w:r>
      <w:r>
        <w:rPr>
          <w:sz w:val="22"/>
          <w:u w:val="single"/>
        </w:rPr>
        <w:t>Provisions Cumulative</w:t>
      </w:r>
      <w:r>
        <w:rPr>
          <w:sz w:val="22"/>
        </w:rPr>
        <w:t>. The foregoing provisions are cumulative to, in addition to, and not in limitation of any other rights or remedies available to the</w:t>
      </w:r>
      <w:r>
        <w:rPr>
          <w:spacing w:val="-6"/>
          <w:sz w:val="22"/>
        </w:rPr>
        <w:t> </w:t>
      </w:r>
      <w:r>
        <w:rPr>
          <w:sz w:val="22"/>
        </w:rPr>
        <w:t>CITY.</w:t>
      </w:r>
    </w:p>
    <w:p>
      <w:pPr>
        <w:pStyle w:val="BodyText"/>
        <w:spacing w:before="10"/>
        <w:rPr>
          <w:sz w:val="20"/>
        </w:rPr>
      </w:pPr>
    </w:p>
    <w:p>
      <w:pPr>
        <w:pStyle w:val="ListParagraph"/>
        <w:numPr>
          <w:ilvl w:val="0"/>
          <w:numId w:val="6"/>
        </w:numPr>
        <w:tabs>
          <w:tab w:pos="840" w:val="left" w:leader="none"/>
        </w:tabs>
        <w:spacing w:line="228" w:lineRule="auto" w:before="0" w:after="0"/>
        <w:ind w:left="840" w:right="481" w:hanging="360"/>
        <w:jc w:val="both"/>
        <w:rPr>
          <w:sz w:val="22"/>
        </w:rPr>
      </w:pPr>
      <w:r>
        <w:rPr>
          <w:rFonts w:ascii="Times New Roman"/>
          <w:spacing w:val="-55"/>
          <w:w w:val="100"/>
          <w:sz w:val="22"/>
          <w:u w:val="single"/>
        </w:rPr>
        <w:t> </w:t>
      </w:r>
      <w:r>
        <w:rPr>
          <w:sz w:val="22"/>
          <w:u w:val="single"/>
        </w:rPr>
        <w:t>Notice</w:t>
      </w:r>
      <w:r>
        <w:rPr>
          <w:sz w:val="22"/>
        </w:rPr>
        <w:t>. Any statements, communications, or notices to be provided pursuant to this Agreement shall be sent to the attention of the persons indicated herein, and the CITY and TPA shall promptly provide the other party with notice of any changes to such contact information.</w:t>
      </w:r>
    </w:p>
    <w:p>
      <w:pPr>
        <w:pStyle w:val="BodyText"/>
        <w:spacing w:before="8"/>
        <w:rPr>
          <w:sz w:val="20"/>
        </w:rPr>
      </w:pPr>
    </w:p>
    <w:p>
      <w:pPr>
        <w:pStyle w:val="ListParagraph"/>
        <w:numPr>
          <w:ilvl w:val="0"/>
          <w:numId w:val="6"/>
        </w:numPr>
        <w:tabs>
          <w:tab w:pos="840" w:val="left" w:leader="none"/>
        </w:tabs>
        <w:spacing w:line="228" w:lineRule="auto" w:before="1" w:after="0"/>
        <w:ind w:left="840" w:right="482" w:hanging="360"/>
        <w:jc w:val="both"/>
        <w:rPr>
          <w:sz w:val="22"/>
        </w:rPr>
      </w:pPr>
      <w:r>
        <w:rPr>
          <w:rFonts w:ascii="Times New Roman"/>
          <w:spacing w:val="-55"/>
          <w:w w:val="100"/>
          <w:sz w:val="22"/>
          <w:u w:val="single"/>
        </w:rPr>
        <w:t> </w:t>
      </w:r>
      <w:r>
        <w:rPr>
          <w:sz w:val="22"/>
          <w:u w:val="single"/>
        </w:rPr>
        <w:t>Business License</w:t>
      </w:r>
      <w:r>
        <w:rPr>
          <w:sz w:val="22"/>
        </w:rPr>
        <w:t>. TPA shall obtain a City of Escondido Business License prior to execution of this Agreement and shall maintain such Business License throughout the term of this Agreement.</w:t>
      </w:r>
    </w:p>
    <w:p>
      <w:pPr>
        <w:pStyle w:val="BodyText"/>
        <w:spacing w:before="8"/>
        <w:rPr>
          <w:sz w:val="20"/>
        </w:rPr>
      </w:pPr>
    </w:p>
    <w:p>
      <w:pPr>
        <w:pStyle w:val="ListParagraph"/>
        <w:numPr>
          <w:ilvl w:val="0"/>
          <w:numId w:val="6"/>
        </w:numPr>
        <w:tabs>
          <w:tab w:pos="840" w:val="left" w:leader="none"/>
        </w:tabs>
        <w:spacing w:line="228" w:lineRule="auto" w:before="1" w:after="0"/>
        <w:ind w:left="840" w:right="480" w:hanging="360"/>
        <w:jc w:val="both"/>
        <w:rPr>
          <w:sz w:val="22"/>
        </w:rPr>
      </w:pPr>
      <w:r>
        <w:rPr>
          <w:rFonts w:ascii="Times New Roman"/>
          <w:spacing w:val="-55"/>
          <w:w w:val="100"/>
          <w:sz w:val="22"/>
          <w:u w:val="single"/>
        </w:rPr>
        <w:t> </w:t>
      </w:r>
      <w:r>
        <w:rPr>
          <w:sz w:val="22"/>
          <w:u w:val="single"/>
        </w:rPr>
        <w:t>Compliance with Laws, Permits, and Licenses</w:t>
      </w:r>
      <w:r>
        <w:rPr>
          <w:sz w:val="22"/>
        </w:rPr>
        <w:t>. TPA shall keep itself informed of and comply with all applicable federal, state, and local laws, statutes, codes, ordinances, regulations, rules, and other legal requirements in effect during the term of this Agreement. TPA shall obtain any and all permits, licenses, and other authorizations necessary to perform the Services. Neither CITY, nor any elected or appointed boards, officers, officials, employees, or</w:t>
      </w:r>
      <w:r>
        <w:rPr>
          <w:spacing w:val="-9"/>
          <w:sz w:val="22"/>
        </w:rPr>
        <w:t> </w:t>
      </w:r>
      <w:r>
        <w:rPr>
          <w:sz w:val="22"/>
        </w:rPr>
        <w:t>agents</w:t>
      </w:r>
      <w:r>
        <w:rPr>
          <w:spacing w:val="-12"/>
          <w:sz w:val="22"/>
        </w:rPr>
        <w:t> </w:t>
      </w:r>
      <w:r>
        <w:rPr>
          <w:sz w:val="22"/>
        </w:rPr>
        <w:t>of</w:t>
      </w:r>
      <w:r>
        <w:rPr>
          <w:spacing w:val="-10"/>
          <w:sz w:val="22"/>
        </w:rPr>
        <w:t> </w:t>
      </w:r>
      <w:r>
        <w:rPr>
          <w:sz w:val="22"/>
        </w:rPr>
        <w:t>CITY,</w:t>
      </w:r>
      <w:r>
        <w:rPr>
          <w:spacing w:val="-11"/>
          <w:sz w:val="22"/>
        </w:rPr>
        <w:t> </w:t>
      </w:r>
      <w:r>
        <w:rPr>
          <w:sz w:val="22"/>
        </w:rPr>
        <w:t>shall</w:t>
      </w:r>
      <w:r>
        <w:rPr>
          <w:spacing w:val="-12"/>
          <w:sz w:val="22"/>
        </w:rPr>
        <w:t> </w:t>
      </w:r>
      <w:r>
        <w:rPr>
          <w:sz w:val="22"/>
        </w:rPr>
        <w:t>be</w:t>
      </w:r>
      <w:r>
        <w:rPr>
          <w:spacing w:val="-11"/>
          <w:sz w:val="22"/>
        </w:rPr>
        <w:t> </w:t>
      </w:r>
      <w:r>
        <w:rPr>
          <w:sz w:val="22"/>
        </w:rPr>
        <w:t>liable,</w:t>
      </w:r>
      <w:r>
        <w:rPr>
          <w:spacing w:val="-8"/>
          <w:sz w:val="22"/>
        </w:rPr>
        <w:t> </w:t>
      </w:r>
      <w:r>
        <w:rPr>
          <w:sz w:val="22"/>
        </w:rPr>
        <w:t>at</w:t>
      </w:r>
      <w:r>
        <w:rPr>
          <w:spacing w:val="-11"/>
          <w:sz w:val="22"/>
        </w:rPr>
        <w:t> </w:t>
      </w:r>
      <w:r>
        <w:rPr>
          <w:sz w:val="22"/>
        </w:rPr>
        <w:t>law</w:t>
      </w:r>
      <w:r>
        <w:rPr>
          <w:spacing w:val="-12"/>
          <w:sz w:val="22"/>
        </w:rPr>
        <w:t> </w:t>
      </w:r>
      <w:r>
        <w:rPr>
          <w:sz w:val="22"/>
        </w:rPr>
        <w:t>or</w:t>
      </w:r>
      <w:r>
        <w:rPr>
          <w:spacing w:val="-8"/>
          <w:sz w:val="22"/>
        </w:rPr>
        <w:t> </w:t>
      </w:r>
      <w:r>
        <w:rPr>
          <w:sz w:val="22"/>
        </w:rPr>
        <w:t>in</w:t>
      </w:r>
      <w:r>
        <w:rPr>
          <w:spacing w:val="-13"/>
          <w:sz w:val="22"/>
        </w:rPr>
        <w:t> </w:t>
      </w:r>
      <w:r>
        <w:rPr>
          <w:sz w:val="22"/>
        </w:rPr>
        <w:t>equity,</w:t>
      </w:r>
      <w:r>
        <w:rPr>
          <w:spacing w:val="-10"/>
          <w:sz w:val="22"/>
        </w:rPr>
        <w:t> </w:t>
      </w:r>
      <w:r>
        <w:rPr>
          <w:sz w:val="22"/>
        </w:rPr>
        <w:t>as</w:t>
      </w:r>
      <w:r>
        <w:rPr>
          <w:spacing w:val="-10"/>
          <w:sz w:val="22"/>
        </w:rPr>
        <w:t> </w:t>
      </w:r>
      <w:r>
        <w:rPr>
          <w:sz w:val="22"/>
        </w:rPr>
        <w:t>a</w:t>
      </w:r>
      <w:r>
        <w:rPr>
          <w:spacing w:val="-11"/>
          <w:sz w:val="22"/>
        </w:rPr>
        <w:t> </w:t>
      </w:r>
      <w:r>
        <w:rPr>
          <w:sz w:val="22"/>
        </w:rPr>
        <w:t>result</w:t>
      </w:r>
      <w:r>
        <w:rPr>
          <w:spacing w:val="-11"/>
          <w:sz w:val="22"/>
        </w:rPr>
        <w:t> </w:t>
      </w:r>
      <w:r>
        <w:rPr>
          <w:sz w:val="22"/>
        </w:rPr>
        <w:t>of</w:t>
      </w:r>
      <w:r>
        <w:rPr>
          <w:spacing w:val="-12"/>
          <w:sz w:val="22"/>
        </w:rPr>
        <w:t> </w:t>
      </w:r>
      <w:r>
        <w:rPr>
          <w:sz w:val="22"/>
        </w:rPr>
        <w:t>any</w:t>
      </w:r>
      <w:r>
        <w:rPr>
          <w:spacing w:val="-14"/>
          <w:sz w:val="22"/>
        </w:rPr>
        <w:t> </w:t>
      </w:r>
      <w:r>
        <w:rPr>
          <w:sz w:val="22"/>
        </w:rPr>
        <w:t>failure</w:t>
      </w:r>
      <w:r>
        <w:rPr>
          <w:spacing w:val="-11"/>
          <w:sz w:val="22"/>
        </w:rPr>
        <w:t> </w:t>
      </w:r>
      <w:r>
        <w:rPr>
          <w:sz w:val="22"/>
        </w:rPr>
        <w:t>of</w:t>
      </w:r>
      <w:r>
        <w:rPr>
          <w:spacing w:val="-11"/>
          <w:sz w:val="22"/>
        </w:rPr>
        <w:t> </w:t>
      </w:r>
      <w:r>
        <w:rPr>
          <w:sz w:val="22"/>
        </w:rPr>
        <w:t>TPA</w:t>
      </w:r>
      <w:r>
        <w:rPr>
          <w:spacing w:val="-13"/>
          <w:sz w:val="22"/>
        </w:rPr>
        <w:t> </w:t>
      </w:r>
      <w:r>
        <w:rPr>
          <w:sz w:val="22"/>
        </w:rPr>
        <w:t>to</w:t>
      </w:r>
      <w:r>
        <w:rPr>
          <w:spacing w:val="-13"/>
          <w:sz w:val="22"/>
        </w:rPr>
        <w:t> </w:t>
      </w:r>
      <w:r>
        <w:rPr>
          <w:sz w:val="22"/>
        </w:rPr>
        <w:t>comply with this</w:t>
      </w:r>
      <w:r>
        <w:rPr>
          <w:spacing w:val="-4"/>
          <w:sz w:val="22"/>
        </w:rPr>
        <w:t> </w:t>
      </w:r>
      <w:r>
        <w:rPr>
          <w:sz w:val="22"/>
        </w:rPr>
        <w:t>section.</w:t>
      </w:r>
    </w:p>
    <w:p>
      <w:pPr>
        <w:spacing w:after="0" w:line="228" w:lineRule="auto"/>
        <w:jc w:val="both"/>
        <w:rPr>
          <w:sz w:val="22"/>
        </w:rPr>
        <w:sectPr>
          <w:footerReference w:type="default" r:id="rId13"/>
          <w:pgSz w:w="12240" w:h="15840"/>
          <w:pgMar w:footer="1248" w:header="0" w:top="720" w:bottom="1440" w:left="960" w:right="960"/>
        </w:sectPr>
      </w:pPr>
    </w:p>
    <w:p>
      <w:pPr>
        <w:pStyle w:val="ListParagraph"/>
        <w:numPr>
          <w:ilvl w:val="0"/>
          <w:numId w:val="6"/>
        </w:numPr>
        <w:tabs>
          <w:tab w:pos="840" w:val="left" w:leader="none"/>
          <w:tab w:pos="2018" w:val="left" w:leader="none"/>
          <w:tab w:pos="3988" w:val="left" w:leader="none"/>
          <w:tab w:pos="5381" w:val="left" w:leader="none"/>
          <w:tab w:pos="6535" w:val="left" w:leader="none"/>
          <w:tab w:pos="8235" w:val="left" w:leader="none"/>
          <w:tab w:pos="9656" w:val="left" w:leader="none"/>
        </w:tabs>
        <w:spacing w:line="228" w:lineRule="auto" w:before="87" w:after="0"/>
        <w:ind w:left="840" w:right="479" w:hanging="360"/>
        <w:jc w:val="both"/>
        <w:rPr>
          <w:sz w:val="22"/>
        </w:rPr>
      </w:pPr>
      <w:r>
        <w:rPr/>
        <w:pict>
          <v:group style="position:absolute;margin-left:26.160002pt;margin-top:26.160002pt;width:561.85pt;height:741.85pt;mso-position-horizontal-relative:page;mso-position-vertical-relative:page;z-index:-253954048" coordorigin="523,523" coordsize="11237,14837">
            <v:line style="position:absolute" from="523,545" to="11674,545" stroked="true" strokeweight="2.159998pt" strokecolor="#000000">
              <v:stroke dashstyle="solid"/>
            </v:line>
            <v:rect style="position:absolute;left:11673;top:523;width:44;height:44" filled="true" fillcolor="#000000" stroked="false">
              <v:fill type="solid"/>
            </v:rect>
            <v:line style="position:absolute" from="545,566" to="545,15317" stroked="true" strokeweight="2.159998pt" strokecolor="#000000">
              <v:stroke dashstyle="solid"/>
            </v:line>
            <v:line style="position:absolute" from="11717,566" to="11717,15274" stroked="true" strokeweight="4.320008pt" strokecolor="#000000">
              <v:stroke dashstyle="solid"/>
            </v:line>
            <v:line style="position:absolute" from="566,15317" to="11674,15317" stroked="true" strokeweight="4.320008pt" strokecolor="#000000">
              <v:stroke dashstyle="solid"/>
            </v:line>
            <v:shape style="position:absolute;left:11673;top:15273;width:87;height:87" coordorigin="11674,15274" coordsize="87,87" path="m11760,15274l11717,15274,11674,15274,11674,15317,11674,15360,11717,15360,11760,15360,11760,15317,11760,15274e" filled="true" fillcolor="#000000" stroked="false">
              <v:path arrowok="t"/>
              <v:fill type="solid"/>
            </v:shape>
            <w10:wrap type="none"/>
          </v:group>
        </w:pict>
      </w:r>
      <w:r>
        <w:rPr>
          <w:rFonts w:ascii="Times New Roman" w:hAnsi="Times New Roman"/>
          <w:spacing w:val="-55"/>
          <w:w w:val="100"/>
          <w:sz w:val="22"/>
          <w:u w:val="single"/>
        </w:rPr>
        <w:t> </w:t>
      </w:r>
      <w:r>
        <w:rPr>
          <w:sz w:val="22"/>
          <w:u w:val="single"/>
        </w:rPr>
        <w:t>Prevailing Wages</w:t>
      </w:r>
      <w:r>
        <w:rPr>
          <w:sz w:val="22"/>
        </w:rPr>
        <w:t>. If applicable, pursuant to California Labor Code section 1770 et seq.,</w:t>
      </w:r>
      <w:r>
        <w:rPr>
          <w:spacing w:val="-40"/>
          <w:sz w:val="22"/>
        </w:rPr>
        <w:t> </w:t>
      </w:r>
      <w:r>
        <w:rPr>
          <w:sz w:val="22"/>
        </w:rPr>
        <w:t>TPA agrees</w:t>
      </w:r>
      <w:r>
        <w:rPr>
          <w:spacing w:val="-6"/>
          <w:sz w:val="22"/>
        </w:rPr>
        <w:t> </w:t>
      </w:r>
      <w:r>
        <w:rPr>
          <w:sz w:val="22"/>
        </w:rPr>
        <w:t>that</w:t>
      </w:r>
      <w:r>
        <w:rPr>
          <w:spacing w:val="-6"/>
          <w:sz w:val="22"/>
        </w:rPr>
        <w:t> </w:t>
      </w:r>
      <w:r>
        <w:rPr>
          <w:sz w:val="22"/>
        </w:rPr>
        <w:t>a</w:t>
      </w:r>
      <w:r>
        <w:rPr>
          <w:spacing w:val="-5"/>
          <w:sz w:val="22"/>
        </w:rPr>
        <w:t> </w:t>
      </w:r>
      <w:r>
        <w:rPr>
          <w:sz w:val="22"/>
        </w:rPr>
        <w:t>prevailing</w:t>
      </w:r>
      <w:r>
        <w:rPr>
          <w:spacing w:val="-3"/>
          <w:sz w:val="22"/>
        </w:rPr>
        <w:t> </w:t>
      </w:r>
      <w:r>
        <w:rPr>
          <w:sz w:val="22"/>
        </w:rPr>
        <w:t>rate</w:t>
      </w:r>
      <w:r>
        <w:rPr>
          <w:spacing w:val="-5"/>
          <w:sz w:val="22"/>
        </w:rPr>
        <w:t> </w:t>
      </w:r>
      <w:r>
        <w:rPr>
          <w:sz w:val="22"/>
        </w:rPr>
        <w:t>and</w:t>
      </w:r>
      <w:r>
        <w:rPr>
          <w:spacing w:val="-7"/>
          <w:sz w:val="22"/>
        </w:rPr>
        <w:t> </w:t>
      </w:r>
      <w:r>
        <w:rPr>
          <w:sz w:val="22"/>
        </w:rPr>
        <w:t>scale</w:t>
      </w:r>
      <w:r>
        <w:rPr>
          <w:spacing w:val="-5"/>
          <w:sz w:val="22"/>
        </w:rPr>
        <w:t> </w:t>
      </w:r>
      <w:r>
        <w:rPr>
          <w:sz w:val="22"/>
        </w:rPr>
        <w:t>of</w:t>
      </w:r>
      <w:r>
        <w:rPr>
          <w:spacing w:val="-2"/>
          <w:sz w:val="22"/>
        </w:rPr>
        <w:t> </w:t>
      </w:r>
      <w:r>
        <w:rPr>
          <w:sz w:val="22"/>
        </w:rPr>
        <w:t>wages,</w:t>
      </w:r>
      <w:r>
        <w:rPr>
          <w:spacing w:val="-4"/>
          <w:sz w:val="22"/>
        </w:rPr>
        <w:t> </w:t>
      </w:r>
      <w:r>
        <w:rPr>
          <w:spacing w:val="-3"/>
          <w:sz w:val="22"/>
        </w:rPr>
        <w:t>in</w:t>
      </w:r>
      <w:r>
        <w:rPr>
          <w:spacing w:val="-2"/>
          <w:sz w:val="22"/>
        </w:rPr>
        <w:t> </w:t>
      </w:r>
      <w:r>
        <w:rPr>
          <w:sz w:val="22"/>
        </w:rPr>
        <w:t>accordance</w:t>
      </w:r>
      <w:r>
        <w:rPr>
          <w:spacing w:val="-6"/>
          <w:sz w:val="22"/>
        </w:rPr>
        <w:t> </w:t>
      </w:r>
      <w:r>
        <w:rPr>
          <w:sz w:val="22"/>
        </w:rPr>
        <w:t>with</w:t>
      </w:r>
      <w:r>
        <w:rPr>
          <w:spacing w:val="-4"/>
          <w:sz w:val="22"/>
        </w:rPr>
        <w:t> </w:t>
      </w:r>
      <w:r>
        <w:rPr>
          <w:sz w:val="22"/>
        </w:rPr>
        <w:t>applicable</w:t>
      </w:r>
      <w:r>
        <w:rPr>
          <w:spacing w:val="-5"/>
          <w:sz w:val="22"/>
        </w:rPr>
        <w:t> </w:t>
      </w:r>
      <w:r>
        <w:rPr>
          <w:sz w:val="22"/>
        </w:rPr>
        <w:t>laws,</w:t>
      </w:r>
      <w:r>
        <w:rPr>
          <w:spacing w:val="-2"/>
          <w:sz w:val="22"/>
        </w:rPr>
        <w:t> </w:t>
      </w:r>
      <w:r>
        <w:rPr>
          <w:sz w:val="22"/>
        </w:rPr>
        <w:t>shall</w:t>
      </w:r>
      <w:r>
        <w:rPr>
          <w:spacing w:val="-6"/>
          <w:sz w:val="22"/>
        </w:rPr>
        <w:t> </w:t>
      </w:r>
      <w:r>
        <w:rPr>
          <w:sz w:val="22"/>
        </w:rPr>
        <w:t>be paid in performing this Agreement. TPA shall keep itself informed of and comply with all applicable federal, state, and local laws, statutes, codes, ordinances, regulations, rules, and other legal requirements pertaining to the payment of prevailing wages. The prevailing rate and scale to be paid shall be the same as the applicable “General Prevailing Wage Determination”</w:t>
      </w:r>
      <w:r>
        <w:rPr>
          <w:spacing w:val="-6"/>
          <w:sz w:val="22"/>
        </w:rPr>
        <w:t> </w:t>
      </w:r>
      <w:r>
        <w:rPr>
          <w:sz w:val="22"/>
        </w:rPr>
        <w:t>approved</w:t>
      </w:r>
      <w:r>
        <w:rPr>
          <w:spacing w:val="-10"/>
          <w:sz w:val="22"/>
        </w:rPr>
        <w:t> </w:t>
      </w:r>
      <w:r>
        <w:rPr>
          <w:sz w:val="22"/>
        </w:rPr>
        <w:t>by</w:t>
      </w:r>
      <w:r>
        <w:rPr>
          <w:spacing w:val="-9"/>
          <w:sz w:val="22"/>
        </w:rPr>
        <w:t> </w:t>
      </w:r>
      <w:r>
        <w:rPr>
          <w:sz w:val="22"/>
        </w:rPr>
        <w:t>the</w:t>
      </w:r>
      <w:r>
        <w:rPr>
          <w:spacing w:val="-7"/>
          <w:sz w:val="22"/>
        </w:rPr>
        <w:t> </w:t>
      </w:r>
      <w:r>
        <w:rPr>
          <w:sz w:val="22"/>
        </w:rPr>
        <w:t>Department</w:t>
      </w:r>
      <w:r>
        <w:rPr>
          <w:spacing w:val="-4"/>
          <w:sz w:val="22"/>
        </w:rPr>
        <w:t> </w:t>
      </w:r>
      <w:r>
        <w:rPr>
          <w:sz w:val="22"/>
        </w:rPr>
        <w:t>of</w:t>
      </w:r>
      <w:r>
        <w:rPr>
          <w:spacing w:val="-4"/>
          <w:sz w:val="22"/>
        </w:rPr>
        <w:t> </w:t>
      </w:r>
      <w:r>
        <w:rPr>
          <w:sz w:val="22"/>
        </w:rPr>
        <w:t>Industrial</w:t>
      </w:r>
      <w:r>
        <w:rPr>
          <w:spacing w:val="-7"/>
          <w:sz w:val="22"/>
        </w:rPr>
        <w:t> </w:t>
      </w:r>
      <w:r>
        <w:rPr>
          <w:sz w:val="22"/>
        </w:rPr>
        <w:t>Relations</w:t>
      </w:r>
      <w:r>
        <w:rPr>
          <w:spacing w:val="-4"/>
          <w:sz w:val="22"/>
        </w:rPr>
        <w:t> </w:t>
      </w:r>
      <w:r>
        <w:rPr>
          <w:sz w:val="22"/>
        </w:rPr>
        <w:t>as</w:t>
      </w:r>
      <w:r>
        <w:rPr>
          <w:spacing w:val="-6"/>
          <w:sz w:val="22"/>
        </w:rPr>
        <w:t> </w:t>
      </w:r>
      <w:r>
        <w:rPr>
          <w:sz w:val="22"/>
        </w:rPr>
        <w:t>of</w:t>
      </w:r>
      <w:r>
        <w:rPr>
          <w:spacing w:val="-7"/>
          <w:sz w:val="22"/>
        </w:rPr>
        <w:t> </w:t>
      </w:r>
      <w:r>
        <w:rPr>
          <w:sz w:val="22"/>
        </w:rPr>
        <w:t>the</w:t>
      </w:r>
      <w:r>
        <w:rPr>
          <w:spacing w:val="-6"/>
          <w:sz w:val="22"/>
        </w:rPr>
        <w:t> </w:t>
      </w:r>
      <w:r>
        <w:rPr>
          <w:sz w:val="22"/>
        </w:rPr>
        <w:t>Effective</w:t>
      </w:r>
      <w:r>
        <w:rPr>
          <w:spacing w:val="-5"/>
          <w:sz w:val="22"/>
        </w:rPr>
        <w:t> </w:t>
      </w:r>
      <w:r>
        <w:rPr>
          <w:sz w:val="22"/>
        </w:rPr>
        <w:t>Date</w:t>
      </w:r>
      <w:r>
        <w:rPr>
          <w:spacing w:val="-9"/>
          <w:sz w:val="22"/>
        </w:rPr>
        <w:t> </w:t>
      </w:r>
      <w:r>
        <w:rPr>
          <w:sz w:val="22"/>
        </w:rPr>
        <w:t>of this</w:t>
        <w:tab/>
        <w:t>Agreement,</w:t>
        <w:tab/>
        <w:t>which</w:t>
        <w:tab/>
        <w:t>are</w:t>
        <w:tab/>
        <w:t>available</w:t>
        <w:tab/>
        <w:t>online</w:t>
        <w:tab/>
      </w:r>
      <w:r>
        <w:rPr>
          <w:spacing w:val="-10"/>
          <w:sz w:val="22"/>
        </w:rPr>
        <w:t>at</w:t>
      </w:r>
      <w:r>
        <w:rPr>
          <w:spacing w:val="-10"/>
          <w:sz w:val="22"/>
          <w:u w:val="single"/>
        </w:rPr>
        <w:t> </w:t>
      </w:r>
      <w:r>
        <w:rPr>
          <w:spacing w:val="-20"/>
          <w:sz w:val="22"/>
          <w:u w:val="single"/>
        </w:rPr>
        <w:t> </w:t>
      </w:r>
      <w:r>
        <w:rPr>
          <w:spacing w:val="-123"/>
          <w:sz w:val="22"/>
          <w:u w:val="single"/>
        </w:rPr>
        <w:t>h</w:t>
      </w:r>
      <w:r>
        <w:rPr>
          <w:spacing w:val="58"/>
          <w:sz w:val="22"/>
        </w:rPr>
        <w:t> </w:t>
      </w:r>
      <w:r>
        <w:rPr>
          <w:sz w:val="22"/>
          <w:u w:val="single"/>
        </w:rPr>
        <w:t>ttp://</w:t>
      </w:r>
      <w:hyperlink r:id="rId15">
        <w:r>
          <w:rPr>
            <w:sz w:val="22"/>
            <w:u w:val="single"/>
          </w:rPr>
          <w:t>www.dir.ca.gov/oprl/dprewagedetermination.htm</w:t>
        </w:r>
        <w:r>
          <w:rPr>
            <w:sz w:val="22"/>
          </w:rPr>
          <w:t> </w:t>
        </w:r>
      </w:hyperlink>
      <w:r>
        <w:rPr>
          <w:sz w:val="22"/>
        </w:rPr>
        <w:t>and incorporated into this Agreement by this reference. Neither CITY, nor any elected or appointed boards, officers, officials, employees, or agents of CITY, shall be liable, at law or in equity, as a result of any failure of TPA to comply with this</w:t>
      </w:r>
      <w:r>
        <w:rPr>
          <w:spacing w:val="-9"/>
          <w:sz w:val="22"/>
        </w:rPr>
        <w:t> </w:t>
      </w:r>
      <w:r>
        <w:rPr>
          <w:sz w:val="22"/>
        </w:rPr>
        <w:t>section.</w:t>
      </w:r>
    </w:p>
    <w:p>
      <w:pPr>
        <w:pStyle w:val="BodyText"/>
        <w:spacing w:before="6"/>
        <w:rPr>
          <w:sz w:val="20"/>
        </w:rPr>
      </w:pPr>
    </w:p>
    <w:p>
      <w:pPr>
        <w:pStyle w:val="ListParagraph"/>
        <w:numPr>
          <w:ilvl w:val="0"/>
          <w:numId w:val="6"/>
        </w:numPr>
        <w:tabs>
          <w:tab w:pos="840" w:val="left" w:leader="none"/>
        </w:tabs>
        <w:spacing w:line="228" w:lineRule="auto" w:before="0" w:after="0"/>
        <w:ind w:left="840" w:right="479" w:hanging="360"/>
        <w:jc w:val="both"/>
        <w:rPr>
          <w:sz w:val="22"/>
        </w:rPr>
      </w:pPr>
      <w:r>
        <w:rPr>
          <w:rFonts w:ascii="Times New Roman"/>
          <w:spacing w:val="-55"/>
          <w:w w:val="100"/>
          <w:sz w:val="22"/>
          <w:u w:val="single"/>
        </w:rPr>
        <w:t> </w:t>
      </w:r>
      <w:r>
        <w:rPr>
          <w:sz w:val="22"/>
          <w:u w:val="single"/>
        </w:rPr>
        <w:t>Immigration Reform and Control Act of 1986</w:t>
      </w:r>
      <w:r>
        <w:rPr>
          <w:sz w:val="22"/>
        </w:rPr>
        <w:t>. TPA shall keep itself informed of and</w:t>
      </w:r>
      <w:r>
        <w:rPr>
          <w:spacing w:val="-40"/>
          <w:sz w:val="22"/>
        </w:rPr>
        <w:t> </w:t>
      </w:r>
      <w:r>
        <w:rPr>
          <w:sz w:val="22"/>
        </w:rPr>
        <w:t>comply with the Immigration Reform and Control Act of 1986. TPA affirms that as a licensed Contractor and employer in the State of California, all new employees must produce proof of eligibility to work in the United States within the first three days of employment and that only employees</w:t>
      </w:r>
      <w:r>
        <w:rPr>
          <w:spacing w:val="-6"/>
          <w:sz w:val="22"/>
        </w:rPr>
        <w:t> </w:t>
      </w:r>
      <w:r>
        <w:rPr>
          <w:sz w:val="22"/>
        </w:rPr>
        <w:t>legally</w:t>
      </w:r>
      <w:r>
        <w:rPr>
          <w:spacing w:val="-10"/>
          <w:sz w:val="22"/>
        </w:rPr>
        <w:t> </w:t>
      </w:r>
      <w:r>
        <w:rPr>
          <w:sz w:val="22"/>
        </w:rPr>
        <w:t>eligible</w:t>
      </w:r>
      <w:r>
        <w:rPr>
          <w:spacing w:val="-6"/>
          <w:sz w:val="22"/>
        </w:rPr>
        <w:t> </w:t>
      </w:r>
      <w:r>
        <w:rPr>
          <w:sz w:val="22"/>
        </w:rPr>
        <w:t>to</w:t>
      </w:r>
      <w:r>
        <w:rPr>
          <w:spacing w:val="-3"/>
          <w:sz w:val="22"/>
        </w:rPr>
        <w:t> </w:t>
      </w:r>
      <w:r>
        <w:rPr>
          <w:sz w:val="22"/>
        </w:rPr>
        <w:t>work</w:t>
      </w:r>
      <w:r>
        <w:rPr>
          <w:spacing w:val="-6"/>
          <w:sz w:val="22"/>
        </w:rPr>
        <w:t> </w:t>
      </w:r>
      <w:r>
        <w:rPr>
          <w:sz w:val="22"/>
        </w:rPr>
        <w:t>in</w:t>
      </w:r>
      <w:r>
        <w:rPr>
          <w:spacing w:val="-7"/>
          <w:sz w:val="22"/>
        </w:rPr>
        <w:t> </w:t>
      </w:r>
      <w:r>
        <w:rPr>
          <w:sz w:val="22"/>
        </w:rPr>
        <w:t>the</w:t>
      </w:r>
      <w:r>
        <w:rPr>
          <w:spacing w:val="-5"/>
          <w:sz w:val="22"/>
        </w:rPr>
        <w:t> </w:t>
      </w:r>
      <w:r>
        <w:rPr>
          <w:sz w:val="22"/>
        </w:rPr>
        <w:t>United</w:t>
      </w:r>
      <w:r>
        <w:rPr>
          <w:spacing w:val="-8"/>
          <w:sz w:val="22"/>
        </w:rPr>
        <w:t> </w:t>
      </w:r>
      <w:r>
        <w:rPr>
          <w:sz w:val="22"/>
        </w:rPr>
        <w:t>States</w:t>
      </w:r>
      <w:r>
        <w:rPr>
          <w:spacing w:val="-5"/>
          <w:sz w:val="22"/>
        </w:rPr>
        <w:t> </w:t>
      </w:r>
      <w:r>
        <w:rPr>
          <w:sz w:val="22"/>
        </w:rPr>
        <w:t>will</w:t>
      </w:r>
      <w:r>
        <w:rPr>
          <w:spacing w:val="-8"/>
          <w:sz w:val="22"/>
        </w:rPr>
        <w:t> </w:t>
      </w:r>
      <w:r>
        <w:rPr>
          <w:sz w:val="22"/>
        </w:rPr>
        <w:t>be</w:t>
      </w:r>
      <w:r>
        <w:rPr>
          <w:spacing w:val="-6"/>
          <w:sz w:val="22"/>
        </w:rPr>
        <w:t> </w:t>
      </w:r>
      <w:r>
        <w:rPr>
          <w:sz w:val="22"/>
        </w:rPr>
        <w:t>employed</w:t>
      </w:r>
      <w:r>
        <w:rPr>
          <w:spacing w:val="-5"/>
          <w:sz w:val="22"/>
        </w:rPr>
        <w:t> </w:t>
      </w:r>
      <w:r>
        <w:rPr>
          <w:sz w:val="22"/>
        </w:rPr>
        <w:t>on</w:t>
      </w:r>
      <w:r>
        <w:rPr>
          <w:spacing w:val="-4"/>
          <w:sz w:val="22"/>
        </w:rPr>
        <w:t> </w:t>
      </w:r>
      <w:r>
        <w:rPr>
          <w:sz w:val="22"/>
        </w:rPr>
        <w:t>this</w:t>
      </w:r>
      <w:r>
        <w:rPr>
          <w:spacing w:val="-5"/>
          <w:sz w:val="22"/>
        </w:rPr>
        <w:t> </w:t>
      </w:r>
      <w:r>
        <w:rPr>
          <w:sz w:val="22"/>
        </w:rPr>
        <w:t>public</w:t>
      </w:r>
      <w:r>
        <w:rPr>
          <w:spacing w:val="-6"/>
          <w:sz w:val="22"/>
        </w:rPr>
        <w:t> </w:t>
      </w:r>
      <w:r>
        <w:rPr>
          <w:sz w:val="22"/>
        </w:rPr>
        <w:t>project. TPA agrees to comply with such provisions before commencing any work on, and continuously throughout the performance of, this</w:t>
      </w:r>
      <w:r>
        <w:rPr>
          <w:spacing w:val="-7"/>
          <w:sz w:val="22"/>
        </w:rPr>
        <w:t> </w:t>
      </w:r>
      <w:r>
        <w:rPr>
          <w:sz w:val="22"/>
        </w:rPr>
        <w:t>Agreement.</w:t>
      </w:r>
    </w:p>
    <w:p>
      <w:pPr>
        <w:pStyle w:val="BodyText"/>
        <w:spacing w:before="7"/>
        <w:rPr>
          <w:sz w:val="20"/>
        </w:rPr>
      </w:pPr>
    </w:p>
    <w:p>
      <w:pPr>
        <w:pStyle w:val="ListParagraph"/>
        <w:numPr>
          <w:ilvl w:val="0"/>
          <w:numId w:val="6"/>
        </w:numPr>
        <w:tabs>
          <w:tab w:pos="840" w:val="left" w:leader="none"/>
        </w:tabs>
        <w:spacing w:line="228" w:lineRule="auto" w:before="1" w:after="0"/>
        <w:ind w:left="840" w:right="480" w:hanging="360"/>
        <w:jc w:val="both"/>
        <w:rPr>
          <w:sz w:val="22"/>
        </w:rPr>
      </w:pPr>
      <w:r>
        <w:rPr>
          <w:rFonts w:ascii="Times New Roman" w:hAnsi="Times New Roman"/>
          <w:spacing w:val="-55"/>
          <w:w w:val="100"/>
          <w:sz w:val="22"/>
          <w:u w:val="single"/>
        </w:rPr>
        <w:t> </w:t>
      </w:r>
      <w:r>
        <w:rPr>
          <w:sz w:val="22"/>
          <w:u w:val="single"/>
        </w:rPr>
        <w:t>Effective</w:t>
      </w:r>
      <w:r>
        <w:rPr>
          <w:spacing w:val="-10"/>
          <w:sz w:val="22"/>
          <w:u w:val="single"/>
        </w:rPr>
        <w:t> </w:t>
      </w:r>
      <w:r>
        <w:rPr>
          <w:sz w:val="22"/>
          <w:u w:val="single"/>
        </w:rPr>
        <w:t>Date</w:t>
      </w:r>
      <w:r>
        <w:rPr>
          <w:sz w:val="22"/>
        </w:rPr>
        <w:t>.</w:t>
      </w:r>
      <w:r>
        <w:rPr>
          <w:spacing w:val="48"/>
          <w:sz w:val="22"/>
        </w:rPr>
        <w:t> </w:t>
      </w:r>
      <w:r>
        <w:rPr>
          <w:sz w:val="22"/>
        </w:rPr>
        <w:t>Unless</w:t>
      </w:r>
      <w:r>
        <w:rPr>
          <w:spacing w:val="-8"/>
          <w:sz w:val="22"/>
        </w:rPr>
        <w:t> </w:t>
      </w:r>
      <w:r>
        <w:rPr>
          <w:sz w:val="22"/>
        </w:rPr>
        <w:t>a</w:t>
      </w:r>
      <w:r>
        <w:rPr>
          <w:spacing w:val="-12"/>
          <w:sz w:val="22"/>
        </w:rPr>
        <w:t> </w:t>
      </w:r>
      <w:r>
        <w:rPr>
          <w:sz w:val="22"/>
        </w:rPr>
        <w:t>different</w:t>
      </w:r>
      <w:r>
        <w:rPr>
          <w:spacing w:val="-8"/>
          <w:sz w:val="22"/>
        </w:rPr>
        <w:t> </w:t>
      </w:r>
      <w:r>
        <w:rPr>
          <w:sz w:val="22"/>
        </w:rPr>
        <w:t>date</w:t>
      </w:r>
      <w:r>
        <w:rPr>
          <w:spacing w:val="-9"/>
          <w:sz w:val="22"/>
        </w:rPr>
        <w:t> </w:t>
      </w:r>
      <w:r>
        <w:rPr>
          <w:sz w:val="22"/>
        </w:rPr>
        <w:t>is</w:t>
      </w:r>
      <w:r>
        <w:rPr>
          <w:spacing w:val="-9"/>
          <w:sz w:val="22"/>
        </w:rPr>
        <w:t> </w:t>
      </w:r>
      <w:r>
        <w:rPr>
          <w:sz w:val="22"/>
        </w:rPr>
        <w:t>provided</w:t>
      </w:r>
      <w:r>
        <w:rPr>
          <w:spacing w:val="-8"/>
          <w:sz w:val="22"/>
        </w:rPr>
        <w:t> </w:t>
      </w:r>
      <w:r>
        <w:rPr>
          <w:sz w:val="22"/>
        </w:rPr>
        <w:t>in</w:t>
      </w:r>
      <w:r>
        <w:rPr>
          <w:spacing w:val="-10"/>
          <w:sz w:val="22"/>
        </w:rPr>
        <w:t> </w:t>
      </w:r>
      <w:r>
        <w:rPr>
          <w:sz w:val="22"/>
        </w:rPr>
        <w:t>this</w:t>
      </w:r>
      <w:r>
        <w:rPr>
          <w:spacing w:val="-8"/>
          <w:sz w:val="22"/>
        </w:rPr>
        <w:t> </w:t>
      </w:r>
      <w:r>
        <w:rPr>
          <w:sz w:val="22"/>
        </w:rPr>
        <w:t>Agreement,</w:t>
      </w:r>
      <w:r>
        <w:rPr>
          <w:spacing w:val="-8"/>
          <w:sz w:val="22"/>
        </w:rPr>
        <w:t> </w:t>
      </w:r>
      <w:r>
        <w:rPr>
          <w:sz w:val="22"/>
        </w:rPr>
        <w:t>the</w:t>
      </w:r>
      <w:r>
        <w:rPr>
          <w:spacing w:val="-7"/>
          <w:sz w:val="22"/>
        </w:rPr>
        <w:t> </w:t>
      </w:r>
      <w:r>
        <w:rPr>
          <w:sz w:val="22"/>
        </w:rPr>
        <w:t>effective</w:t>
      </w:r>
      <w:r>
        <w:rPr>
          <w:spacing w:val="-9"/>
          <w:sz w:val="22"/>
        </w:rPr>
        <w:t> </w:t>
      </w:r>
      <w:r>
        <w:rPr>
          <w:sz w:val="22"/>
        </w:rPr>
        <w:t>date</w:t>
      </w:r>
      <w:r>
        <w:rPr>
          <w:spacing w:val="-10"/>
          <w:sz w:val="22"/>
        </w:rPr>
        <w:t> </w:t>
      </w:r>
      <w:r>
        <w:rPr>
          <w:sz w:val="22"/>
        </w:rPr>
        <w:t>of</w:t>
      </w:r>
      <w:r>
        <w:rPr>
          <w:spacing w:val="-5"/>
          <w:sz w:val="22"/>
        </w:rPr>
        <w:t> </w:t>
      </w:r>
      <w:r>
        <w:rPr>
          <w:sz w:val="22"/>
        </w:rPr>
        <w:t>this Agreement shall be the latest date of execution set forth by the names of the signatures’ below.</w:t>
      </w:r>
    </w:p>
    <w:p>
      <w:pPr>
        <w:pStyle w:val="BodyText"/>
        <w:spacing w:before="8"/>
        <w:rPr>
          <w:sz w:val="20"/>
        </w:rPr>
      </w:pPr>
    </w:p>
    <w:p>
      <w:pPr>
        <w:pStyle w:val="BodyText"/>
        <w:spacing w:line="228" w:lineRule="auto" w:before="1"/>
        <w:ind w:left="480" w:right="480" w:firstLine="720"/>
      </w:pPr>
      <w:r>
        <w:rPr/>
        <w:t>IN WITNESS WHEREOF, this Agreement is executed by the parties or their duly authorized representatives as of the Effective Date:</w:t>
      </w:r>
    </w:p>
    <w:p>
      <w:pPr>
        <w:pStyle w:val="BodyText"/>
        <w:spacing w:before="7"/>
        <w:rPr>
          <w:sz w:val="32"/>
        </w:rPr>
      </w:pPr>
    </w:p>
    <w:p>
      <w:pPr>
        <w:pStyle w:val="BodyText"/>
        <w:ind w:left="4799"/>
      </w:pPr>
      <w:r>
        <w:rPr/>
        <w:t>CITY OF ESCONDIDO</w:t>
      </w:r>
    </w:p>
    <w:p>
      <w:pPr>
        <w:pStyle w:val="BodyText"/>
      </w:pPr>
    </w:p>
    <w:p>
      <w:pPr>
        <w:pStyle w:val="BodyText"/>
        <w:tabs>
          <w:tab w:pos="3379" w:val="left" w:leader="none"/>
          <w:tab w:pos="4796" w:val="left" w:leader="none"/>
          <w:tab w:pos="9125" w:val="left" w:leader="none"/>
        </w:tabs>
        <w:spacing w:line="245" w:lineRule="exact" w:before="1"/>
        <w:ind w:left="480"/>
        <w:rPr>
          <w:rFonts w:ascii="Times New Roman"/>
        </w:rPr>
      </w:pPr>
      <w:r>
        <w:rPr/>
        <w:t>Date: </w:t>
      </w:r>
      <w:r>
        <w:rPr>
          <w:spacing w:val="1"/>
        </w:rPr>
        <w:t> </w:t>
      </w:r>
      <w:r>
        <w:rPr>
          <w:rFonts w:ascii="Times New Roman"/>
          <w:w w:val="100"/>
          <w:u w:val="single"/>
        </w:rPr>
        <w:t> </w:t>
      </w:r>
      <w:r>
        <w:rPr>
          <w:rFonts w:ascii="Times New Roman"/>
          <w:u w:val="single"/>
        </w:rPr>
        <w:tab/>
      </w:r>
      <w:r>
        <w:rPr>
          <w:rFonts w:ascii="Times New Roman"/>
        </w:rPr>
        <w:tab/>
      </w:r>
      <w:r>
        <w:rPr>
          <w:rFonts w:ascii="Times New Roman"/>
          <w:w w:val="100"/>
          <w:u w:val="single"/>
        </w:rPr>
        <w:t> </w:t>
      </w:r>
      <w:r>
        <w:rPr>
          <w:rFonts w:ascii="Times New Roman"/>
          <w:u w:val="single"/>
        </w:rPr>
        <w:tab/>
      </w:r>
    </w:p>
    <w:p>
      <w:pPr>
        <w:pStyle w:val="BodyText"/>
        <w:spacing w:line="228" w:lineRule="auto" w:before="2"/>
        <w:ind w:left="4799" w:right="3923"/>
      </w:pPr>
      <w:r>
        <w:rPr/>
        <w:t>Paul McNamara Mayor</w:t>
      </w:r>
    </w:p>
    <w:p>
      <w:pPr>
        <w:pStyle w:val="BodyText"/>
        <w:rPr>
          <w:sz w:val="24"/>
        </w:rPr>
      </w:pPr>
    </w:p>
    <w:p>
      <w:pPr>
        <w:pStyle w:val="BodyText"/>
        <w:spacing w:before="208"/>
        <w:ind w:left="4799"/>
      </w:pPr>
      <w:r>
        <w:rPr/>
        <w:t>[TPA COMPANY NAME]</w:t>
      </w:r>
    </w:p>
    <w:p>
      <w:pPr>
        <w:pStyle w:val="BodyText"/>
      </w:pPr>
    </w:p>
    <w:p>
      <w:pPr>
        <w:pStyle w:val="BodyText"/>
        <w:tabs>
          <w:tab w:pos="3379" w:val="left" w:leader="none"/>
          <w:tab w:pos="4796" w:val="left" w:leader="none"/>
          <w:tab w:pos="9125" w:val="left" w:leader="none"/>
        </w:tabs>
        <w:spacing w:line="252" w:lineRule="exact"/>
        <w:ind w:left="480"/>
        <w:rPr>
          <w:rFonts w:ascii="Times New Roman"/>
        </w:rPr>
      </w:pPr>
      <w:r>
        <w:rPr/>
        <w:t>Date: </w:t>
      </w:r>
      <w:r>
        <w:rPr>
          <w:spacing w:val="1"/>
        </w:rPr>
        <w:t> </w:t>
      </w:r>
      <w:r>
        <w:rPr>
          <w:rFonts w:ascii="Times New Roman"/>
          <w:w w:val="100"/>
          <w:u w:val="single"/>
        </w:rPr>
        <w:t> </w:t>
      </w:r>
      <w:r>
        <w:rPr>
          <w:rFonts w:ascii="Times New Roman"/>
          <w:u w:val="single"/>
        </w:rPr>
        <w:tab/>
      </w:r>
      <w:r>
        <w:rPr>
          <w:rFonts w:ascii="Times New Roman"/>
        </w:rPr>
        <w:tab/>
      </w:r>
      <w:r>
        <w:rPr>
          <w:rFonts w:ascii="Times New Roman"/>
          <w:w w:val="100"/>
          <w:u w:val="single"/>
        </w:rPr>
        <w:t> </w:t>
      </w:r>
      <w:r>
        <w:rPr>
          <w:rFonts w:ascii="Times New Roman"/>
          <w:u w:val="single"/>
        </w:rPr>
        <w:tab/>
      </w:r>
    </w:p>
    <w:p>
      <w:pPr>
        <w:pStyle w:val="BodyText"/>
        <w:spacing w:line="252" w:lineRule="exact"/>
        <w:ind w:left="4799"/>
      </w:pPr>
      <w:r>
        <w:rPr/>
        <w:t>Signature</w:t>
      </w:r>
    </w:p>
    <w:p>
      <w:pPr>
        <w:pStyle w:val="BodyText"/>
        <w:rPr>
          <w:sz w:val="20"/>
        </w:rPr>
      </w:pPr>
    </w:p>
    <w:p>
      <w:pPr>
        <w:pStyle w:val="BodyText"/>
        <w:spacing w:before="2"/>
        <w:rPr>
          <w:sz w:val="19"/>
        </w:rPr>
      </w:pPr>
      <w:r>
        <w:rPr/>
        <w:pict>
          <v:shape style="position:absolute;margin-left:287.973877pt;margin-top:13.354829pt;width:213.95pt;height:.1pt;mso-position-horizontal-relative:page;mso-position-vertical-relative:paragraph;z-index:-251626496;mso-wrap-distance-left:0;mso-wrap-distance-right:0" coordorigin="5759,267" coordsize="4279,0" path="m5759,267l10038,267e" filled="false" stroked="true" strokeweight=".694202pt" strokecolor="#000000">
            <v:path arrowok="t"/>
            <v:stroke dashstyle="solid"/>
            <w10:wrap type="topAndBottom"/>
          </v:shape>
        </w:pict>
      </w:r>
    </w:p>
    <w:p>
      <w:pPr>
        <w:pStyle w:val="BodyText"/>
        <w:spacing w:line="228" w:lineRule="exact"/>
        <w:ind w:left="4799"/>
      </w:pPr>
      <w:r>
        <w:rPr/>
        <w:t>Name &amp; Title (please print)</w:t>
      </w:r>
    </w:p>
    <w:p>
      <w:pPr>
        <w:pStyle w:val="BodyText"/>
        <w:spacing w:before="1"/>
        <w:rPr>
          <w:sz w:val="24"/>
        </w:rPr>
      </w:pPr>
    </w:p>
    <w:p>
      <w:pPr>
        <w:spacing w:before="94"/>
        <w:ind w:left="480" w:right="0" w:firstLine="0"/>
        <w:jc w:val="left"/>
        <w:rPr>
          <w:sz w:val="22"/>
        </w:rPr>
      </w:pPr>
      <w:r>
        <w:rPr>
          <w:sz w:val="22"/>
        </w:rPr>
        <w:t>A</w:t>
      </w:r>
      <w:r>
        <w:rPr>
          <w:sz w:val="18"/>
        </w:rPr>
        <w:t>PPROVED AS TO </w:t>
      </w:r>
      <w:r>
        <w:rPr>
          <w:sz w:val="22"/>
        </w:rPr>
        <w:t>F</w:t>
      </w:r>
      <w:r>
        <w:rPr>
          <w:sz w:val="18"/>
        </w:rPr>
        <w:t>ORM</w:t>
      </w:r>
      <w:r>
        <w:rPr>
          <w:sz w:val="22"/>
        </w:rPr>
        <w:t>:</w:t>
      </w:r>
    </w:p>
    <w:p>
      <w:pPr>
        <w:spacing w:before="121"/>
        <w:ind w:left="480" w:right="0" w:firstLine="0"/>
        <w:jc w:val="left"/>
        <w:rPr>
          <w:sz w:val="18"/>
        </w:rPr>
      </w:pPr>
      <w:r>
        <w:rPr>
          <w:sz w:val="22"/>
        </w:rPr>
        <w:t>O</w:t>
      </w:r>
      <w:r>
        <w:rPr>
          <w:sz w:val="18"/>
        </w:rPr>
        <w:t>FFICE OF THE </w:t>
      </w:r>
      <w:r>
        <w:rPr>
          <w:sz w:val="22"/>
        </w:rPr>
        <w:t>C</w:t>
      </w:r>
      <w:r>
        <w:rPr>
          <w:sz w:val="18"/>
        </w:rPr>
        <w:t>ITY </w:t>
      </w:r>
      <w:r>
        <w:rPr>
          <w:sz w:val="22"/>
        </w:rPr>
        <w:t>A</w:t>
      </w:r>
      <w:r>
        <w:rPr>
          <w:sz w:val="18"/>
        </w:rPr>
        <w:t>TTORNEY</w:t>
      </w:r>
    </w:p>
    <w:p>
      <w:pPr>
        <w:spacing w:before="128"/>
        <w:ind w:left="480" w:right="0" w:firstLine="0"/>
        <w:jc w:val="left"/>
        <w:rPr>
          <w:sz w:val="20"/>
        </w:rPr>
      </w:pPr>
      <w:r>
        <w:rPr>
          <w:sz w:val="20"/>
        </w:rPr>
        <w:t>MICHAEL R. MCGUINNESS, City Attorney</w:t>
      </w:r>
    </w:p>
    <w:p>
      <w:pPr>
        <w:pStyle w:val="BodyText"/>
        <w:spacing w:before="7"/>
        <w:rPr>
          <w:sz w:val="32"/>
        </w:rPr>
      </w:pPr>
    </w:p>
    <w:p>
      <w:pPr>
        <w:pStyle w:val="BodyText"/>
        <w:tabs>
          <w:tab w:pos="4086" w:val="left" w:leader="none"/>
        </w:tabs>
        <w:spacing w:before="1"/>
        <w:ind w:left="480"/>
        <w:rPr>
          <w:rFonts w:ascii="Times New Roman"/>
        </w:rPr>
      </w:pPr>
      <w:r>
        <w:rPr/>
        <w:t>B</w:t>
      </w:r>
      <w:r>
        <w:rPr>
          <w:sz w:val="18"/>
        </w:rPr>
        <w:t>Y</w:t>
      </w:r>
      <w:r>
        <w:rPr/>
        <w:t>:</w:t>
      </w:r>
      <w:r>
        <w:rPr>
          <w:spacing w:val="-10"/>
        </w:rPr>
        <w:t> </w:t>
      </w:r>
      <w:r>
        <w:rPr>
          <w:rFonts w:ascii="Times New Roman"/>
          <w:w w:val="100"/>
          <w:u w:val="single"/>
        </w:rPr>
        <w:t> </w:t>
      </w:r>
      <w:r>
        <w:rPr>
          <w:rFonts w:ascii="Times New Roman"/>
          <w:u w:val="single"/>
        </w:rPr>
        <w:tab/>
      </w:r>
    </w:p>
    <w:p>
      <w:pPr>
        <w:pStyle w:val="BodyText"/>
        <w:rPr>
          <w:rFonts w:ascii="Times New Roman"/>
          <w:sz w:val="20"/>
        </w:rPr>
      </w:pPr>
    </w:p>
    <w:p>
      <w:pPr>
        <w:pStyle w:val="BodyText"/>
        <w:rPr>
          <w:rFonts w:ascii="Times New Roman"/>
          <w:sz w:val="20"/>
        </w:rPr>
      </w:pPr>
    </w:p>
    <w:p>
      <w:pPr>
        <w:pStyle w:val="BodyText"/>
        <w:rPr>
          <w:rFonts w:ascii="Times New Roman"/>
          <w:sz w:val="27"/>
        </w:rPr>
      </w:pPr>
    </w:p>
    <w:p>
      <w:pPr>
        <w:spacing w:before="96"/>
        <w:ind w:left="1108" w:right="0" w:firstLine="0"/>
        <w:jc w:val="left"/>
        <w:rPr>
          <w:sz w:val="16"/>
        </w:rPr>
      </w:pPr>
      <w:r>
        <w:rPr>
          <w:sz w:val="16"/>
        </w:rPr>
        <w:t>THE CITY OF ESCONDIDO DOES NOT DISCRIMINATE AGAINST QUALIFIED PERSONS WITH DISABILITIES.</w:t>
      </w:r>
    </w:p>
    <w:sectPr>
      <w:footerReference w:type="default" r:id="rId14"/>
      <w:pgSz w:w="12240" w:h="15840"/>
      <w:pgMar w:footer="1248" w:header="0" w:top="720" w:bottom="1440" w:left="96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9.639984pt;margin-top:718.59729pt;width:12.7pt;height:15.4pt;mso-position-horizontal-relative:page;mso-position-vertical-relative:page;z-index:-253986816" type="#_x0000_t202" filled="false" stroked="false">
          <v:textbox inset="0,0,0,0">
            <w:txbxContent>
              <w:p>
                <w:pPr>
                  <w:spacing w:before="11"/>
                  <w:ind w:left="60" w:right="0" w:firstLine="0"/>
                  <w:jc w:val="left"/>
                  <w:rPr>
                    <w:sz w:val="24"/>
                  </w:rPr>
                </w:pPr>
                <w:r>
                  <w:rPr/>
                  <w:fldChar w:fldCharType="begin"/>
                </w:r>
                <w:r>
                  <w:rPr>
                    <w:w w:val="99"/>
                    <w:sz w:val="24"/>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8.279999pt;margin-top:718.59729pt;width:15.35pt;height:15.4pt;mso-position-horizontal-relative:page;mso-position-vertical-relative:page;z-index:-253985792" type="#_x0000_t202" filled="false" stroked="false">
          <v:textbox inset="0,0,0,0">
            <w:txbxContent>
              <w:p>
                <w:pPr>
                  <w:spacing w:before="11"/>
                  <w:ind w:left="20" w:right="0" w:firstLine="0"/>
                  <w:jc w:val="left"/>
                  <w:rPr>
                    <w:sz w:val="24"/>
                  </w:rPr>
                </w:pPr>
                <w:r>
                  <w:rPr>
                    <w:sz w:val="24"/>
                  </w:rPr>
                  <w:t>10</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8.279999pt;margin-top:718.59729pt;width:17.350pt;height:15.4pt;mso-position-horizontal-relative:page;mso-position-vertical-relative:page;z-index:-253984768" type="#_x0000_t202" filled="false" stroked="false">
          <v:textbox inset="0,0,0,0">
            <w:txbxContent>
              <w:p>
                <w:pPr>
                  <w:spacing w:before="11"/>
                  <w:ind w:left="20" w:right="0" w:firstLine="0"/>
                  <w:jc w:val="left"/>
                  <w:rPr>
                    <w:sz w:val="24"/>
                  </w:rPr>
                </w:pPr>
                <w:r>
                  <w:rPr>
                    <w:sz w:val="24"/>
                  </w:rPr>
                  <w:t>1</w:t>
                </w:r>
                <w:r>
                  <w:rPr/>
                  <w:fldChar w:fldCharType="begin"/>
                </w:r>
                <w:r>
                  <w:rPr>
                    <w:sz w:val="24"/>
                  </w:rPr>
                  <w:instrText> PAGE </w:instrText>
                </w:r>
                <w:r>
                  <w:rPr/>
                  <w:fldChar w:fldCharType="separate"/>
                </w:r>
                <w:r>
                  <w:rPr/>
                  <w:t>1</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8.279999pt;margin-top:718.59729pt;width:15.35pt;height:15.4pt;mso-position-horizontal-relative:page;mso-position-vertical-relative:page;z-index:-253983744" type="#_x0000_t202" filled="false" stroked="false">
          <v:textbox inset="0,0,0,0">
            <w:txbxContent>
              <w:p>
                <w:pPr>
                  <w:spacing w:before="11"/>
                  <w:ind w:left="20" w:right="0" w:firstLine="0"/>
                  <w:jc w:val="left"/>
                  <w:rPr>
                    <w:sz w:val="24"/>
                  </w:rPr>
                </w:pPr>
                <w:r>
                  <w:rPr>
                    <w:sz w:val="24"/>
                  </w:rPr>
                  <w:t>20</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9"/>
      </w:rPr>
    </w:pPr>
    <w:r>
      <w:rPr/>
      <w:pict>
        <v:shape style="position:absolute;margin-left:298.279999pt;margin-top:718.59729pt;width:17.350pt;height:15.4pt;mso-position-horizontal-relative:page;mso-position-vertical-relative:page;z-index:-253982720" type="#_x0000_t202" filled="false" stroked="false">
          <v:textbox inset="0,0,0,0">
            <w:txbxContent>
              <w:p>
                <w:pPr>
                  <w:spacing w:before="11"/>
                  <w:ind w:left="20" w:right="0" w:firstLine="0"/>
                  <w:jc w:val="left"/>
                  <w:rPr>
                    <w:sz w:val="24"/>
                  </w:rPr>
                </w:pPr>
                <w:r>
                  <w:rPr>
                    <w:sz w:val="24"/>
                  </w:rPr>
                  <w:t>2</w:t>
                </w:r>
                <w:r>
                  <w:rPr/>
                  <w:fldChar w:fldCharType="begin"/>
                </w:r>
                <w:r>
                  <w:rPr>
                    <w:sz w:val="24"/>
                  </w:rPr>
                  <w:instrText> PAGE </w:instrText>
                </w:r>
                <w:r>
                  <w:rPr/>
                  <w:fldChar w:fldCharType="separate"/>
                </w:r>
                <w:r>
                  <w:rPr/>
                  <w:t>4</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8.279999pt;margin-top:718.59729pt;width:15.35pt;height:15.4pt;mso-position-horizontal-relative:page;mso-position-vertical-relative:page;z-index:-253981696" type="#_x0000_t202" filled="false" stroked="false">
          <v:textbox inset="0,0,0,0">
            <w:txbxContent>
              <w:p>
                <w:pPr>
                  <w:spacing w:before="11"/>
                  <w:ind w:left="20" w:right="0" w:firstLine="0"/>
                  <w:jc w:val="left"/>
                  <w:rPr>
                    <w:sz w:val="24"/>
                  </w:rPr>
                </w:pPr>
                <w:r>
                  <w:rPr>
                    <w:sz w:val="24"/>
                  </w:rPr>
                  <w:t>30</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8.279999pt;margin-top:718.59729pt;width:15.35pt;height:15.4pt;mso-position-horizontal-relative:page;mso-position-vertical-relative:page;z-index:-253980672" type="#_x0000_t202" filled="false" stroked="false">
          <v:textbox inset="0,0,0,0">
            <w:txbxContent>
              <w:p>
                <w:pPr>
                  <w:spacing w:before="11"/>
                  <w:ind w:left="20" w:right="0" w:firstLine="0"/>
                  <w:jc w:val="left"/>
                  <w:rPr>
                    <w:sz w:val="24"/>
                  </w:rPr>
                </w:pPr>
                <w:r>
                  <w:rPr>
                    <w:sz w:val="24"/>
                  </w:rPr>
                  <w:t>31</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840" w:hanging="360"/>
        <w:jc w:val="left"/>
      </w:pPr>
      <w:rPr>
        <w:rFonts w:hint="default" w:ascii="Arial" w:hAnsi="Arial" w:eastAsia="Arial" w:cs="Arial"/>
        <w:w w:val="100"/>
        <w:sz w:val="22"/>
        <w:szCs w:val="22"/>
      </w:rPr>
    </w:lvl>
    <w:lvl w:ilvl="1">
      <w:start w:val="1"/>
      <w:numFmt w:val="lowerLetter"/>
      <w:lvlText w:val="%2."/>
      <w:lvlJc w:val="left"/>
      <w:pPr>
        <w:ind w:left="1200" w:hanging="361"/>
        <w:jc w:val="left"/>
      </w:pPr>
      <w:rPr>
        <w:rFonts w:hint="default" w:ascii="Arial" w:hAnsi="Arial" w:eastAsia="Arial" w:cs="Arial"/>
        <w:w w:val="100"/>
        <w:sz w:val="22"/>
        <w:szCs w:val="22"/>
      </w:rPr>
    </w:lvl>
    <w:lvl w:ilvl="2">
      <w:start w:val="1"/>
      <w:numFmt w:val="decimal"/>
      <w:lvlText w:val="(%3)"/>
      <w:lvlJc w:val="left"/>
      <w:pPr>
        <w:ind w:left="1560" w:hanging="353"/>
        <w:jc w:val="left"/>
      </w:pPr>
      <w:rPr>
        <w:rFonts w:hint="default" w:ascii="Arial" w:hAnsi="Arial" w:eastAsia="Arial" w:cs="Arial"/>
        <w:spacing w:val="-2"/>
        <w:w w:val="100"/>
        <w:sz w:val="22"/>
        <w:szCs w:val="22"/>
      </w:rPr>
    </w:lvl>
    <w:lvl w:ilvl="3">
      <w:start w:val="0"/>
      <w:numFmt w:val="bullet"/>
      <w:lvlText w:val="•"/>
      <w:lvlJc w:val="left"/>
      <w:pPr>
        <w:ind w:left="2655" w:hanging="353"/>
      </w:pPr>
      <w:rPr>
        <w:rFonts w:hint="default"/>
      </w:rPr>
    </w:lvl>
    <w:lvl w:ilvl="4">
      <w:start w:val="0"/>
      <w:numFmt w:val="bullet"/>
      <w:lvlText w:val="•"/>
      <w:lvlJc w:val="left"/>
      <w:pPr>
        <w:ind w:left="3750" w:hanging="353"/>
      </w:pPr>
      <w:rPr>
        <w:rFonts w:hint="default"/>
      </w:rPr>
    </w:lvl>
    <w:lvl w:ilvl="5">
      <w:start w:val="0"/>
      <w:numFmt w:val="bullet"/>
      <w:lvlText w:val="•"/>
      <w:lvlJc w:val="left"/>
      <w:pPr>
        <w:ind w:left="4845" w:hanging="353"/>
      </w:pPr>
      <w:rPr>
        <w:rFonts w:hint="default"/>
      </w:rPr>
    </w:lvl>
    <w:lvl w:ilvl="6">
      <w:start w:val="0"/>
      <w:numFmt w:val="bullet"/>
      <w:lvlText w:val="•"/>
      <w:lvlJc w:val="left"/>
      <w:pPr>
        <w:ind w:left="5940" w:hanging="353"/>
      </w:pPr>
      <w:rPr>
        <w:rFonts w:hint="default"/>
      </w:rPr>
    </w:lvl>
    <w:lvl w:ilvl="7">
      <w:start w:val="0"/>
      <w:numFmt w:val="bullet"/>
      <w:lvlText w:val="•"/>
      <w:lvlJc w:val="left"/>
      <w:pPr>
        <w:ind w:left="7035" w:hanging="353"/>
      </w:pPr>
      <w:rPr>
        <w:rFonts w:hint="default"/>
      </w:rPr>
    </w:lvl>
    <w:lvl w:ilvl="8">
      <w:start w:val="0"/>
      <w:numFmt w:val="bullet"/>
      <w:lvlText w:val="•"/>
      <w:lvlJc w:val="left"/>
      <w:pPr>
        <w:ind w:left="8130" w:hanging="353"/>
      </w:pPr>
      <w:rPr>
        <w:rFonts w:hint="default"/>
      </w:rPr>
    </w:lvl>
  </w:abstractNum>
  <w:abstractNum w:abstractNumId="4">
    <w:multiLevelType w:val="hybridMultilevel"/>
    <w:lvl w:ilvl="0">
      <w:start w:val="1"/>
      <w:numFmt w:val="decimal"/>
      <w:lvlText w:val="%1."/>
      <w:lvlJc w:val="left"/>
      <w:pPr>
        <w:ind w:left="840" w:hanging="361"/>
        <w:jc w:val="left"/>
      </w:pPr>
      <w:rPr>
        <w:rFonts w:hint="default" w:ascii="Arial" w:hAnsi="Arial" w:eastAsia="Arial" w:cs="Arial"/>
        <w:b/>
        <w:bCs/>
        <w:w w:val="100"/>
        <w:sz w:val="22"/>
        <w:szCs w:val="22"/>
      </w:rPr>
    </w:lvl>
    <w:lvl w:ilvl="1">
      <w:start w:val="0"/>
      <w:numFmt w:val="bullet"/>
      <w:lvlText w:val=""/>
      <w:lvlJc w:val="left"/>
      <w:pPr>
        <w:ind w:left="1740" w:hanging="361"/>
      </w:pPr>
      <w:rPr>
        <w:rFonts w:hint="default" w:ascii="Symbol" w:hAnsi="Symbol" w:eastAsia="Symbol" w:cs="Symbol"/>
        <w:w w:val="100"/>
        <w:sz w:val="22"/>
        <w:szCs w:val="22"/>
      </w:rPr>
    </w:lvl>
    <w:lvl w:ilvl="2">
      <w:start w:val="0"/>
      <w:numFmt w:val="bullet"/>
      <w:lvlText w:val="•"/>
      <w:lvlJc w:val="left"/>
      <w:pPr>
        <w:ind w:left="1740" w:hanging="361"/>
      </w:pPr>
      <w:rPr>
        <w:rFonts w:hint="default"/>
      </w:rPr>
    </w:lvl>
    <w:lvl w:ilvl="3">
      <w:start w:val="0"/>
      <w:numFmt w:val="bullet"/>
      <w:lvlText w:val="•"/>
      <w:lvlJc w:val="left"/>
      <w:pPr>
        <w:ind w:left="2812" w:hanging="361"/>
      </w:pPr>
      <w:rPr>
        <w:rFonts w:hint="default"/>
      </w:rPr>
    </w:lvl>
    <w:lvl w:ilvl="4">
      <w:start w:val="0"/>
      <w:numFmt w:val="bullet"/>
      <w:lvlText w:val="•"/>
      <w:lvlJc w:val="left"/>
      <w:pPr>
        <w:ind w:left="3885" w:hanging="361"/>
      </w:pPr>
      <w:rPr>
        <w:rFonts w:hint="default"/>
      </w:rPr>
    </w:lvl>
    <w:lvl w:ilvl="5">
      <w:start w:val="0"/>
      <w:numFmt w:val="bullet"/>
      <w:lvlText w:val="•"/>
      <w:lvlJc w:val="left"/>
      <w:pPr>
        <w:ind w:left="4957" w:hanging="361"/>
      </w:pPr>
      <w:rPr>
        <w:rFonts w:hint="default"/>
      </w:rPr>
    </w:lvl>
    <w:lvl w:ilvl="6">
      <w:start w:val="0"/>
      <w:numFmt w:val="bullet"/>
      <w:lvlText w:val="•"/>
      <w:lvlJc w:val="left"/>
      <w:pPr>
        <w:ind w:left="6030" w:hanging="361"/>
      </w:pPr>
      <w:rPr>
        <w:rFonts w:hint="default"/>
      </w:rPr>
    </w:lvl>
    <w:lvl w:ilvl="7">
      <w:start w:val="0"/>
      <w:numFmt w:val="bullet"/>
      <w:lvlText w:val="•"/>
      <w:lvlJc w:val="left"/>
      <w:pPr>
        <w:ind w:left="7102" w:hanging="361"/>
      </w:pPr>
      <w:rPr>
        <w:rFonts w:hint="default"/>
      </w:rPr>
    </w:lvl>
    <w:lvl w:ilvl="8">
      <w:start w:val="0"/>
      <w:numFmt w:val="bullet"/>
      <w:lvlText w:val="•"/>
      <w:lvlJc w:val="left"/>
      <w:pPr>
        <w:ind w:left="8175" w:hanging="361"/>
      </w:pPr>
      <w:rPr>
        <w:rFonts w:hint="default"/>
      </w:rPr>
    </w:lvl>
  </w:abstractNum>
  <w:abstractNum w:abstractNumId="3">
    <w:multiLevelType w:val="hybridMultilevel"/>
    <w:lvl w:ilvl="0">
      <w:start w:val="1"/>
      <w:numFmt w:val="decimal"/>
      <w:lvlText w:val="%1."/>
      <w:lvlJc w:val="left"/>
      <w:pPr>
        <w:ind w:left="480" w:hanging="360"/>
        <w:jc w:val="left"/>
      </w:pPr>
      <w:rPr>
        <w:rFonts w:hint="default" w:ascii="Arial" w:hAnsi="Arial" w:eastAsia="Arial" w:cs="Arial"/>
        <w:w w:val="100"/>
        <w:sz w:val="22"/>
        <w:szCs w:val="22"/>
      </w:rPr>
    </w:lvl>
    <w:lvl w:ilvl="1">
      <w:start w:val="1"/>
      <w:numFmt w:val="decimal"/>
      <w:lvlText w:val="%2."/>
      <w:lvlJc w:val="left"/>
      <w:pPr>
        <w:ind w:left="1200" w:hanging="361"/>
        <w:jc w:val="left"/>
      </w:pPr>
      <w:rPr>
        <w:rFonts w:hint="default" w:ascii="Arial" w:hAnsi="Arial" w:eastAsia="Arial" w:cs="Arial"/>
        <w:w w:val="100"/>
        <w:sz w:val="22"/>
        <w:szCs w:val="22"/>
      </w:rPr>
    </w:lvl>
    <w:lvl w:ilvl="2">
      <w:start w:val="0"/>
      <w:numFmt w:val="bullet"/>
      <w:lvlText w:val="•"/>
      <w:lvlJc w:val="left"/>
      <w:pPr>
        <w:ind w:left="2213" w:hanging="361"/>
      </w:pPr>
      <w:rPr>
        <w:rFonts w:hint="default"/>
      </w:rPr>
    </w:lvl>
    <w:lvl w:ilvl="3">
      <w:start w:val="0"/>
      <w:numFmt w:val="bullet"/>
      <w:lvlText w:val="•"/>
      <w:lvlJc w:val="left"/>
      <w:pPr>
        <w:ind w:left="3226" w:hanging="361"/>
      </w:pPr>
      <w:rPr>
        <w:rFonts w:hint="default"/>
      </w:rPr>
    </w:lvl>
    <w:lvl w:ilvl="4">
      <w:start w:val="0"/>
      <w:numFmt w:val="bullet"/>
      <w:lvlText w:val="•"/>
      <w:lvlJc w:val="left"/>
      <w:pPr>
        <w:ind w:left="4240" w:hanging="361"/>
      </w:pPr>
      <w:rPr>
        <w:rFonts w:hint="default"/>
      </w:rPr>
    </w:lvl>
    <w:lvl w:ilvl="5">
      <w:start w:val="0"/>
      <w:numFmt w:val="bullet"/>
      <w:lvlText w:val="•"/>
      <w:lvlJc w:val="left"/>
      <w:pPr>
        <w:ind w:left="5253" w:hanging="361"/>
      </w:pPr>
      <w:rPr>
        <w:rFonts w:hint="default"/>
      </w:rPr>
    </w:lvl>
    <w:lvl w:ilvl="6">
      <w:start w:val="0"/>
      <w:numFmt w:val="bullet"/>
      <w:lvlText w:val="•"/>
      <w:lvlJc w:val="left"/>
      <w:pPr>
        <w:ind w:left="6266" w:hanging="361"/>
      </w:pPr>
      <w:rPr>
        <w:rFonts w:hint="default"/>
      </w:rPr>
    </w:lvl>
    <w:lvl w:ilvl="7">
      <w:start w:val="0"/>
      <w:numFmt w:val="bullet"/>
      <w:lvlText w:val="•"/>
      <w:lvlJc w:val="left"/>
      <w:pPr>
        <w:ind w:left="7280" w:hanging="361"/>
      </w:pPr>
      <w:rPr>
        <w:rFonts w:hint="default"/>
      </w:rPr>
    </w:lvl>
    <w:lvl w:ilvl="8">
      <w:start w:val="0"/>
      <w:numFmt w:val="bullet"/>
      <w:lvlText w:val="•"/>
      <w:lvlJc w:val="left"/>
      <w:pPr>
        <w:ind w:left="8293" w:hanging="361"/>
      </w:pPr>
      <w:rPr>
        <w:rFonts w:hint="default"/>
      </w:rPr>
    </w:lvl>
  </w:abstractNum>
  <w:abstractNum w:abstractNumId="2">
    <w:multiLevelType w:val="hybridMultilevel"/>
    <w:lvl w:ilvl="0">
      <w:start w:val="1"/>
      <w:numFmt w:val="decimal"/>
      <w:lvlText w:val="%1."/>
      <w:lvlJc w:val="left"/>
      <w:pPr>
        <w:ind w:left="1420" w:hanging="360"/>
        <w:jc w:val="left"/>
      </w:pPr>
      <w:rPr>
        <w:rFonts w:hint="default"/>
        <w:w w:val="100"/>
      </w:rPr>
    </w:lvl>
    <w:lvl w:ilvl="1">
      <w:start w:val="0"/>
      <w:numFmt w:val="bullet"/>
      <w:lvlText w:val="•"/>
      <w:lvlJc w:val="left"/>
      <w:pPr>
        <w:ind w:left="2310" w:hanging="360"/>
      </w:pPr>
      <w:rPr>
        <w:rFonts w:hint="default"/>
      </w:rPr>
    </w:lvl>
    <w:lvl w:ilvl="2">
      <w:start w:val="0"/>
      <w:numFmt w:val="bullet"/>
      <w:lvlText w:val="•"/>
      <w:lvlJc w:val="left"/>
      <w:pPr>
        <w:ind w:left="3200" w:hanging="360"/>
      </w:pPr>
      <w:rPr>
        <w:rFonts w:hint="default"/>
      </w:rPr>
    </w:lvl>
    <w:lvl w:ilvl="3">
      <w:start w:val="0"/>
      <w:numFmt w:val="bullet"/>
      <w:lvlText w:val="•"/>
      <w:lvlJc w:val="left"/>
      <w:pPr>
        <w:ind w:left="4090" w:hanging="360"/>
      </w:pPr>
      <w:rPr>
        <w:rFonts w:hint="default"/>
      </w:rPr>
    </w:lvl>
    <w:lvl w:ilvl="4">
      <w:start w:val="0"/>
      <w:numFmt w:val="bullet"/>
      <w:lvlText w:val="•"/>
      <w:lvlJc w:val="left"/>
      <w:pPr>
        <w:ind w:left="4980" w:hanging="360"/>
      </w:pPr>
      <w:rPr>
        <w:rFonts w:hint="default"/>
      </w:rPr>
    </w:lvl>
    <w:lvl w:ilvl="5">
      <w:start w:val="0"/>
      <w:numFmt w:val="bullet"/>
      <w:lvlText w:val="•"/>
      <w:lvlJc w:val="left"/>
      <w:pPr>
        <w:ind w:left="5870" w:hanging="360"/>
      </w:pPr>
      <w:rPr>
        <w:rFonts w:hint="default"/>
      </w:rPr>
    </w:lvl>
    <w:lvl w:ilvl="6">
      <w:start w:val="0"/>
      <w:numFmt w:val="bullet"/>
      <w:lvlText w:val="•"/>
      <w:lvlJc w:val="left"/>
      <w:pPr>
        <w:ind w:left="6760" w:hanging="360"/>
      </w:pPr>
      <w:rPr>
        <w:rFonts w:hint="default"/>
      </w:rPr>
    </w:lvl>
    <w:lvl w:ilvl="7">
      <w:start w:val="0"/>
      <w:numFmt w:val="bullet"/>
      <w:lvlText w:val="•"/>
      <w:lvlJc w:val="left"/>
      <w:pPr>
        <w:ind w:left="7650" w:hanging="360"/>
      </w:pPr>
      <w:rPr>
        <w:rFonts w:hint="default"/>
      </w:rPr>
    </w:lvl>
    <w:lvl w:ilvl="8">
      <w:start w:val="0"/>
      <w:numFmt w:val="bullet"/>
      <w:lvlText w:val="•"/>
      <w:lvlJc w:val="left"/>
      <w:pPr>
        <w:ind w:left="8540" w:hanging="360"/>
      </w:pPr>
      <w:rPr>
        <w:rFonts w:hint="default"/>
      </w:rPr>
    </w:lvl>
  </w:abstractNum>
  <w:abstractNum w:abstractNumId="1">
    <w:multiLevelType w:val="hybridMultilevel"/>
    <w:lvl w:ilvl="0">
      <w:start w:val="1"/>
      <w:numFmt w:val="decimal"/>
      <w:lvlText w:val="%1."/>
      <w:lvlJc w:val="left"/>
      <w:pPr>
        <w:ind w:left="840" w:hanging="361"/>
        <w:jc w:val="left"/>
      </w:pPr>
      <w:rPr>
        <w:rFonts w:hint="default" w:ascii="Arial" w:hAnsi="Arial" w:eastAsia="Arial" w:cs="Arial"/>
        <w:w w:val="100"/>
        <w:sz w:val="22"/>
        <w:szCs w:val="22"/>
      </w:rPr>
    </w:lvl>
    <w:lvl w:ilvl="1">
      <w:start w:val="0"/>
      <w:numFmt w:val="bullet"/>
      <w:lvlText w:val=""/>
      <w:lvlJc w:val="left"/>
      <w:pPr>
        <w:ind w:left="1200" w:hanging="361"/>
      </w:pPr>
      <w:rPr>
        <w:rFonts w:hint="default" w:ascii="Symbol" w:hAnsi="Symbol" w:eastAsia="Symbol" w:cs="Symbol"/>
        <w:w w:val="100"/>
        <w:sz w:val="22"/>
        <w:szCs w:val="22"/>
      </w:rPr>
    </w:lvl>
    <w:lvl w:ilvl="2">
      <w:start w:val="0"/>
      <w:numFmt w:val="bullet"/>
      <w:lvlText w:val="•"/>
      <w:lvlJc w:val="left"/>
      <w:pPr>
        <w:ind w:left="2213" w:hanging="361"/>
      </w:pPr>
      <w:rPr>
        <w:rFonts w:hint="default"/>
      </w:rPr>
    </w:lvl>
    <w:lvl w:ilvl="3">
      <w:start w:val="0"/>
      <w:numFmt w:val="bullet"/>
      <w:lvlText w:val="•"/>
      <w:lvlJc w:val="left"/>
      <w:pPr>
        <w:ind w:left="3226" w:hanging="361"/>
      </w:pPr>
      <w:rPr>
        <w:rFonts w:hint="default"/>
      </w:rPr>
    </w:lvl>
    <w:lvl w:ilvl="4">
      <w:start w:val="0"/>
      <w:numFmt w:val="bullet"/>
      <w:lvlText w:val="•"/>
      <w:lvlJc w:val="left"/>
      <w:pPr>
        <w:ind w:left="4240" w:hanging="361"/>
      </w:pPr>
      <w:rPr>
        <w:rFonts w:hint="default"/>
      </w:rPr>
    </w:lvl>
    <w:lvl w:ilvl="5">
      <w:start w:val="0"/>
      <w:numFmt w:val="bullet"/>
      <w:lvlText w:val="•"/>
      <w:lvlJc w:val="left"/>
      <w:pPr>
        <w:ind w:left="5253" w:hanging="361"/>
      </w:pPr>
      <w:rPr>
        <w:rFonts w:hint="default"/>
      </w:rPr>
    </w:lvl>
    <w:lvl w:ilvl="6">
      <w:start w:val="0"/>
      <w:numFmt w:val="bullet"/>
      <w:lvlText w:val="•"/>
      <w:lvlJc w:val="left"/>
      <w:pPr>
        <w:ind w:left="6266" w:hanging="361"/>
      </w:pPr>
      <w:rPr>
        <w:rFonts w:hint="default"/>
      </w:rPr>
    </w:lvl>
    <w:lvl w:ilvl="7">
      <w:start w:val="0"/>
      <w:numFmt w:val="bullet"/>
      <w:lvlText w:val="•"/>
      <w:lvlJc w:val="left"/>
      <w:pPr>
        <w:ind w:left="7280" w:hanging="361"/>
      </w:pPr>
      <w:rPr>
        <w:rFonts w:hint="default"/>
      </w:rPr>
    </w:lvl>
    <w:lvl w:ilvl="8">
      <w:start w:val="0"/>
      <w:numFmt w:val="bullet"/>
      <w:lvlText w:val="•"/>
      <w:lvlJc w:val="left"/>
      <w:pPr>
        <w:ind w:left="8293" w:hanging="361"/>
      </w:pPr>
      <w:rPr>
        <w:rFonts w:hint="default"/>
      </w:rPr>
    </w:lvl>
  </w:abstractNum>
  <w:abstractNum w:abstractNumId="0">
    <w:multiLevelType w:val="hybridMultilevel"/>
    <w:lvl w:ilvl="0">
      <w:start w:val="1"/>
      <w:numFmt w:val="decimal"/>
      <w:lvlText w:val="%1."/>
      <w:lvlJc w:val="left"/>
      <w:pPr>
        <w:ind w:left="840" w:hanging="360"/>
        <w:jc w:val="left"/>
      </w:pPr>
      <w:rPr>
        <w:rFonts w:hint="default"/>
        <w:w w:val="100"/>
      </w:rPr>
    </w:lvl>
    <w:lvl w:ilvl="1">
      <w:start w:val="1"/>
      <w:numFmt w:val="lowerLetter"/>
      <w:lvlText w:val="%2."/>
      <w:lvlJc w:val="left"/>
      <w:pPr>
        <w:ind w:left="1200" w:hanging="361"/>
        <w:jc w:val="left"/>
      </w:pPr>
      <w:rPr>
        <w:rFonts w:hint="default" w:ascii="Arial" w:hAnsi="Arial" w:eastAsia="Arial" w:cs="Arial"/>
        <w:w w:val="100"/>
        <w:sz w:val="22"/>
        <w:szCs w:val="22"/>
      </w:rPr>
    </w:lvl>
    <w:lvl w:ilvl="2">
      <w:start w:val="0"/>
      <w:numFmt w:val="bullet"/>
      <w:lvlText w:val="•"/>
      <w:lvlJc w:val="left"/>
      <w:pPr>
        <w:ind w:left="2213" w:hanging="361"/>
      </w:pPr>
      <w:rPr>
        <w:rFonts w:hint="default"/>
      </w:rPr>
    </w:lvl>
    <w:lvl w:ilvl="3">
      <w:start w:val="0"/>
      <w:numFmt w:val="bullet"/>
      <w:lvlText w:val="•"/>
      <w:lvlJc w:val="left"/>
      <w:pPr>
        <w:ind w:left="3226" w:hanging="361"/>
      </w:pPr>
      <w:rPr>
        <w:rFonts w:hint="default"/>
      </w:rPr>
    </w:lvl>
    <w:lvl w:ilvl="4">
      <w:start w:val="0"/>
      <w:numFmt w:val="bullet"/>
      <w:lvlText w:val="•"/>
      <w:lvlJc w:val="left"/>
      <w:pPr>
        <w:ind w:left="4240" w:hanging="361"/>
      </w:pPr>
      <w:rPr>
        <w:rFonts w:hint="default"/>
      </w:rPr>
    </w:lvl>
    <w:lvl w:ilvl="5">
      <w:start w:val="0"/>
      <w:numFmt w:val="bullet"/>
      <w:lvlText w:val="•"/>
      <w:lvlJc w:val="left"/>
      <w:pPr>
        <w:ind w:left="5253" w:hanging="361"/>
      </w:pPr>
      <w:rPr>
        <w:rFonts w:hint="default"/>
      </w:rPr>
    </w:lvl>
    <w:lvl w:ilvl="6">
      <w:start w:val="0"/>
      <w:numFmt w:val="bullet"/>
      <w:lvlText w:val="•"/>
      <w:lvlJc w:val="left"/>
      <w:pPr>
        <w:ind w:left="6266" w:hanging="361"/>
      </w:pPr>
      <w:rPr>
        <w:rFonts w:hint="default"/>
      </w:rPr>
    </w:lvl>
    <w:lvl w:ilvl="7">
      <w:start w:val="0"/>
      <w:numFmt w:val="bullet"/>
      <w:lvlText w:val="•"/>
      <w:lvlJc w:val="left"/>
      <w:pPr>
        <w:ind w:left="7280" w:hanging="361"/>
      </w:pPr>
      <w:rPr>
        <w:rFonts w:hint="default"/>
      </w:rPr>
    </w:lvl>
    <w:lvl w:ilvl="8">
      <w:start w:val="0"/>
      <w:numFmt w:val="bullet"/>
      <w:lvlText w:val="•"/>
      <w:lvlJc w:val="left"/>
      <w:pPr>
        <w:ind w:left="8293" w:hanging="361"/>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spacing w:before="70"/>
      <w:ind w:left="1046" w:right="1046"/>
      <w:jc w:val="center"/>
      <w:outlineLvl w:val="1"/>
    </w:pPr>
    <w:rPr>
      <w:rFonts w:ascii="Arial" w:hAnsi="Arial" w:eastAsia="Arial" w:cs="Arial"/>
      <w:b/>
      <w:bCs/>
      <w:sz w:val="28"/>
      <w:szCs w:val="28"/>
      <w:u w:val="single" w:color="000000"/>
    </w:rPr>
  </w:style>
  <w:style w:styleId="Heading2" w:type="paragraph">
    <w:name w:val="Heading 2"/>
    <w:basedOn w:val="Normal"/>
    <w:uiPriority w:val="1"/>
    <w:qFormat/>
    <w:pPr>
      <w:spacing w:before="1"/>
      <w:ind w:left="1046" w:right="1051"/>
      <w:jc w:val="center"/>
      <w:outlineLvl w:val="2"/>
    </w:pPr>
    <w:rPr>
      <w:rFonts w:ascii="Arial" w:hAnsi="Arial" w:eastAsia="Arial" w:cs="Arial"/>
      <w:b/>
      <w:bCs/>
      <w:sz w:val="24"/>
      <w:szCs w:val="24"/>
    </w:rPr>
  </w:style>
  <w:style w:styleId="Heading3" w:type="paragraph">
    <w:name w:val="Heading 3"/>
    <w:basedOn w:val="Normal"/>
    <w:uiPriority w:val="1"/>
    <w:qFormat/>
    <w:pPr>
      <w:spacing w:before="11"/>
      <w:ind w:left="20"/>
      <w:outlineLvl w:val="3"/>
    </w:pPr>
    <w:rPr>
      <w:rFonts w:ascii="Arial" w:hAnsi="Arial" w:eastAsia="Arial" w:cs="Arial"/>
      <w:sz w:val="24"/>
      <w:szCs w:val="24"/>
    </w:rPr>
  </w:style>
  <w:style w:styleId="Heading4" w:type="paragraph">
    <w:name w:val="Heading 4"/>
    <w:basedOn w:val="Normal"/>
    <w:uiPriority w:val="1"/>
    <w:qFormat/>
    <w:pPr>
      <w:ind w:left="840" w:hanging="360"/>
      <w:outlineLvl w:val="4"/>
    </w:pPr>
    <w:rPr>
      <w:rFonts w:ascii="Arial" w:hAnsi="Arial" w:eastAsia="Arial" w:cs="Arial"/>
      <w:b/>
      <w:bCs/>
      <w:sz w:val="22"/>
      <w:szCs w:val="22"/>
    </w:rPr>
  </w:style>
  <w:style w:styleId="ListParagraph" w:type="paragraph">
    <w:name w:val="List Paragraph"/>
    <w:basedOn w:val="Normal"/>
    <w:uiPriority w:val="1"/>
    <w:qFormat/>
    <w:pPr>
      <w:ind w:left="1200" w:hanging="360"/>
    </w:pPr>
    <w:rPr>
      <w:rFonts w:ascii="Arial" w:hAnsi="Arial" w:eastAsia="Arial" w:cs="Arial"/>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hyperlink" Target="mailto:hansen@escondido.org" TargetMode="Externa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hyperlink" Target="http://www.dir.ca.gov/oprl/dprewagedetermination.htm"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shansen</dc:creator>
  <dc:title>Microsoft Word - Worker's Comp Claims Svcs TPA RFP FINAL 01-08-2021.docx</dc:title>
  <dcterms:created xsi:type="dcterms:W3CDTF">2021-01-11T20:29:15Z</dcterms:created>
  <dcterms:modified xsi:type="dcterms:W3CDTF">2021-01-11T20:29:15Z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2021-01-08T00:00:00Z</vt:filetime>
  </property>
  <property fmtid="{D5CDD505-2E9C-101B-9397-08002B2CF9AE}" pid="3" name="LastSaved">
    <vt:filetime>2021-01-11T00:00:00Z</vt:filetime>
  </property>
</Properties>
</file>