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1EDF6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bookmarkStart w:id="0" w:name="_GoBack"/>
      <w:bookmarkEnd w:id="0"/>
      <w:r>
        <w:rPr>
          <w:b/>
        </w:rPr>
        <w:t>I.</w:t>
      </w:r>
      <w:r>
        <w:rPr>
          <w:b/>
        </w:rPr>
        <w:tab/>
      </w:r>
      <w:r>
        <w:rPr>
          <w:b/>
          <w:u w:val="single"/>
        </w:rPr>
        <w:t>STATEMENT</w:t>
      </w:r>
      <w:r>
        <w:rPr>
          <w:b/>
        </w:rPr>
        <w:t>:</w:t>
      </w:r>
    </w:p>
    <w:p w14:paraId="7ED2CFFA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881B35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jc w:val="both"/>
      </w:pPr>
      <w:r>
        <w:t xml:space="preserve">This Administrative Procedure covers the use of City vehicles </w:t>
      </w:r>
      <w:r>
        <w:rPr>
          <w:color w:val="000000"/>
        </w:rPr>
        <w:t xml:space="preserve">and equipment.  </w:t>
      </w:r>
      <w:r>
        <w:t>Police and Fire Department vehicle and equipment purchases are not required to follow this Administrative Procedure, but may do so at the discretion of their depar</w:t>
      </w:r>
      <w:r>
        <w:t xml:space="preserve">tment head.  The City is required to purchase numerous </w:t>
      </w:r>
      <w:r>
        <w:rPr>
          <w:color w:val="000000"/>
        </w:rPr>
        <w:t>vehicles and equipment</w:t>
      </w:r>
      <w:r>
        <w:rPr>
          <w:color w:val="FF0000"/>
        </w:rPr>
        <w:t xml:space="preserve"> </w:t>
      </w:r>
      <w:r>
        <w:t>for its employees as a means to travel around the City, to and from City facilities, to visit residents and businesses in the City.  Employees also use City vehicles</w:t>
      </w:r>
      <w:r>
        <w:rPr>
          <w:color w:val="FF0000"/>
        </w:rPr>
        <w:t xml:space="preserve"> </w:t>
      </w:r>
      <w:r>
        <w:rPr>
          <w:color w:val="000000"/>
        </w:rPr>
        <w:t>and equipmen</w:t>
      </w:r>
      <w:r>
        <w:rPr>
          <w:color w:val="000000"/>
        </w:rPr>
        <w:t>t</w:t>
      </w:r>
      <w:r>
        <w:t xml:space="preserve"> to travel to other cities </w:t>
      </w:r>
      <w:r>
        <w:rPr>
          <w:color w:val="000000"/>
        </w:rPr>
        <w:t>to</w:t>
      </w:r>
      <w:r>
        <w:t xml:space="preserve"> attend meetings, training, etc., as part of their employment.  As a result, a policy is required to help define who will use the </w:t>
      </w:r>
      <w:r>
        <w:rPr>
          <w:color w:val="000000"/>
        </w:rPr>
        <w:t>vehicles and equipment</w:t>
      </w:r>
      <w:r>
        <w:t>, and to what extent they may be used.  Since there are numerous employees</w:t>
      </w:r>
      <w:r>
        <w:t xml:space="preserve"> that utilize </w:t>
      </w:r>
      <w:r>
        <w:rPr>
          <w:color w:val="000000"/>
        </w:rPr>
        <w:t>vehicles and equipment</w:t>
      </w:r>
      <w:r>
        <w:rPr>
          <w:color w:val="FF0000"/>
        </w:rPr>
        <w:t xml:space="preserve"> </w:t>
      </w:r>
      <w:r>
        <w:t>for a wide variety of purposes, it is very difficult to set out a strict guideline with exact requirements.  Therefore, this procedure establishes broad guidelines to follow and at the same time defines specific paramet</w:t>
      </w:r>
      <w:r>
        <w:t>ers.</w:t>
      </w:r>
    </w:p>
    <w:p w14:paraId="22C8E9E4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0C1A3FA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</w:rPr>
        <w:t>II.</w:t>
      </w:r>
      <w:r>
        <w:rPr>
          <w:b/>
        </w:rPr>
        <w:tab/>
      </w:r>
      <w:r>
        <w:rPr>
          <w:b/>
          <w:u w:val="single"/>
        </w:rPr>
        <w:t>PROCEDURE</w:t>
      </w:r>
      <w:r>
        <w:rPr>
          <w:b/>
        </w:rPr>
        <w:t>:</w:t>
      </w:r>
    </w:p>
    <w:p w14:paraId="6FBC609E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28D39372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jc w:val="both"/>
        <w:rPr>
          <w:rFonts w:ascii="CG Times" w:hAnsi="CG Times"/>
        </w:rPr>
      </w:pPr>
      <w:r>
        <w:rPr>
          <w:color w:val="000000"/>
        </w:rPr>
        <w:t>A</w:t>
      </w:r>
      <w:r>
        <w:t>.</w:t>
      </w:r>
      <w:r>
        <w:tab/>
        <w:t>Full</w:t>
      </w:r>
      <w:r>
        <w:noBreakHyphen/>
        <w:t>time Overnight Use of City Vehicles</w:t>
      </w:r>
    </w:p>
    <w:p w14:paraId="57CC549B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54D69021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CG Times" w:hAnsi="CG Times"/>
        </w:rPr>
      </w:pPr>
      <w:r>
        <w:rPr>
          <w:rFonts w:ascii="CG Times" w:hAnsi="CG Times"/>
        </w:rPr>
        <w:t>The following are criteria used to determine the necessity of full</w:t>
      </w:r>
      <w:r>
        <w:rPr>
          <w:rFonts w:ascii="CG Times" w:hAnsi="CG Times"/>
        </w:rPr>
        <w:noBreakHyphen/>
        <w:t>time overnight assignments:</w:t>
      </w:r>
    </w:p>
    <w:p w14:paraId="4664295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0B91CE6A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16" w:hanging="576"/>
        <w:jc w:val="both"/>
        <w:rPr>
          <w:rFonts w:ascii="CG Times" w:hAnsi="CG Times"/>
          <w:strike/>
          <w:color w:val="FF0000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 xml:space="preserve">Executive management </w:t>
      </w:r>
      <w:r>
        <w:rPr>
          <w:rFonts w:ascii="CG Times" w:hAnsi="CG Times"/>
          <w:color w:val="000000"/>
        </w:rPr>
        <w:t>– as approved by the City Manager.</w:t>
      </w:r>
      <w:r>
        <w:rPr>
          <w:rFonts w:ascii="CG Times" w:hAnsi="CG Times"/>
        </w:rPr>
        <w:t xml:space="preserve"> </w:t>
      </w:r>
    </w:p>
    <w:p w14:paraId="73A85EA5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1D43CB3E" w14:textId="77777777" w:rsidR="00000000" w:rsidRDefault="00433C4F">
      <w:pPr>
        <w:numPr>
          <w:ilvl w:val="0"/>
          <w:numId w:val="2"/>
        </w:numPr>
        <w:tabs>
          <w:tab w:val="clear" w:pos="1800"/>
          <w:tab w:val="left" w:pos="-1440"/>
          <w:tab w:val="left" w:pos="-720"/>
          <w:tab w:val="left" w:pos="0"/>
          <w:tab w:val="left" w:pos="864"/>
          <w:tab w:val="left" w:pos="1440"/>
          <w:tab w:val="left" w:pos="1980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540"/>
        <w:jc w:val="both"/>
        <w:rPr>
          <w:rFonts w:ascii="CG Times" w:hAnsi="CG Times"/>
        </w:rPr>
      </w:pPr>
      <w:r>
        <w:rPr>
          <w:rFonts w:ascii="CG Times" w:hAnsi="CG Times"/>
        </w:rPr>
        <w:t>Employees whose duties necessita</w:t>
      </w:r>
      <w:r>
        <w:rPr>
          <w:rFonts w:ascii="CG Times" w:hAnsi="CG Times"/>
        </w:rPr>
        <w:t>te the frequent use of a specific City vehicle before or after standard work hours.</w:t>
      </w:r>
    </w:p>
    <w:p w14:paraId="4CD8C132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1980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540"/>
        <w:jc w:val="both"/>
        <w:rPr>
          <w:rFonts w:ascii="CG Times" w:hAnsi="CG Times"/>
        </w:rPr>
      </w:pPr>
    </w:p>
    <w:p w14:paraId="3278736E" w14:textId="77777777" w:rsidR="00000000" w:rsidRDefault="00433C4F">
      <w:pPr>
        <w:numPr>
          <w:ilvl w:val="0"/>
          <w:numId w:val="2"/>
        </w:numPr>
        <w:tabs>
          <w:tab w:val="clear" w:pos="1800"/>
          <w:tab w:val="left" w:pos="-1440"/>
          <w:tab w:val="left" w:pos="-720"/>
          <w:tab w:val="left" w:pos="0"/>
          <w:tab w:val="left" w:pos="864"/>
          <w:tab w:val="left" w:pos="1440"/>
          <w:tab w:val="left" w:pos="1980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540"/>
        <w:jc w:val="both"/>
        <w:rPr>
          <w:rFonts w:ascii="CG Times" w:hAnsi="CG Times"/>
        </w:rPr>
      </w:pPr>
      <w:r>
        <w:rPr>
          <w:rFonts w:ascii="CG Times" w:hAnsi="CG Times"/>
        </w:rPr>
        <w:t>Employees, usually at the supervisory level, whose responsibilities involve emergency service and who are regularly on call and called out frequently, or whose regular dut</w:t>
      </w:r>
      <w:r>
        <w:rPr>
          <w:rFonts w:ascii="CG Times" w:hAnsi="CG Times"/>
        </w:rPr>
        <w:t>ies necessitate frequent use of a City vehicle for meetings away from their regular work place before or after the applicable standard work hours.</w:t>
      </w:r>
    </w:p>
    <w:p w14:paraId="51F11BC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29C277F5" w14:textId="77777777" w:rsidR="00000000" w:rsidRDefault="00433C4F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  <w:r>
        <w:rPr>
          <w:rFonts w:ascii="CG Times" w:hAnsi="CG Times"/>
        </w:rPr>
        <w:t xml:space="preserve">Duties designated specifically by the City Manager as special or extenuating circumstances. </w:t>
      </w:r>
    </w:p>
    <w:p w14:paraId="2480B85D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792D90C3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641785E5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7578822C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  <w:r>
        <w:rPr>
          <w:b/>
        </w:rPr>
        <w:lastRenderedPageBreak/>
        <w:t>II.</w:t>
      </w:r>
      <w:r>
        <w:rPr>
          <w:b/>
        </w:rPr>
        <w:tab/>
      </w:r>
      <w:r>
        <w:rPr>
          <w:b/>
          <w:u w:val="single"/>
        </w:rPr>
        <w:t>PROCEDUR</w:t>
      </w:r>
      <w:r>
        <w:rPr>
          <w:b/>
          <w:u w:val="single"/>
        </w:rPr>
        <w:t>E</w:t>
      </w:r>
      <w:r>
        <w:rPr>
          <w:b/>
        </w:rPr>
        <w:t>:</w:t>
      </w:r>
      <w:r>
        <w:t xml:space="preserve">   continued</w:t>
      </w:r>
    </w:p>
    <w:p w14:paraId="2B26C5FA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0985C231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76"/>
        <w:jc w:val="both"/>
        <w:rPr>
          <w:rFonts w:ascii="CG Times" w:hAnsi="CG Times"/>
          <w:color w:val="000000"/>
        </w:rPr>
      </w:pPr>
      <w:r>
        <w:rPr>
          <w:rFonts w:ascii="CG Times" w:hAnsi="CG Times"/>
          <w:color w:val="000000"/>
        </w:rPr>
        <w:t>B.</w:t>
      </w:r>
      <w:r>
        <w:rPr>
          <w:rFonts w:ascii="CG Times" w:hAnsi="CG Times"/>
          <w:color w:val="000000"/>
        </w:rPr>
        <w:tab/>
        <w:t>Justification of Overnight Assignment of Vehicles and Equipment:</w:t>
      </w:r>
    </w:p>
    <w:p w14:paraId="6B779862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61DC57C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16" w:hanging="576"/>
        <w:jc w:val="both"/>
        <w:rPr>
          <w:rFonts w:ascii="CG Times" w:hAnsi="CG Times"/>
        </w:rPr>
      </w:pPr>
      <w:r>
        <w:rPr>
          <w:rFonts w:ascii="CG Times" w:hAnsi="CG Times"/>
          <w:color w:val="000000"/>
        </w:rPr>
        <w:t>1.</w:t>
      </w:r>
      <w:r>
        <w:rPr>
          <w:rFonts w:ascii="CG Times" w:hAnsi="CG Times"/>
        </w:rPr>
        <w:tab/>
        <w:t xml:space="preserve">Annually, prior to December 1st, each department manager shall evaluate new </w:t>
      </w:r>
      <w:r>
        <w:rPr>
          <w:rFonts w:ascii="CG Times" w:hAnsi="CG Times"/>
          <w:color w:val="000000"/>
        </w:rPr>
        <w:t>requests</w:t>
      </w:r>
      <w:r>
        <w:rPr>
          <w:rFonts w:ascii="CG Times" w:hAnsi="CG Times"/>
        </w:rPr>
        <w:t xml:space="preserve"> and existing </w:t>
      </w:r>
      <w:r>
        <w:rPr>
          <w:rFonts w:ascii="CG Times" w:hAnsi="CG Times"/>
          <w:color w:val="000000"/>
        </w:rPr>
        <w:t>assignments</w:t>
      </w:r>
      <w:r>
        <w:rPr>
          <w:rFonts w:ascii="CG Times" w:hAnsi="CG Times"/>
        </w:rPr>
        <w:t xml:space="preserve"> </w:t>
      </w:r>
      <w:r>
        <w:rPr>
          <w:rFonts w:ascii="CG Times" w:hAnsi="CG Times"/>
          <w:color w:val="000000"/>
        </w:rPr>
        <w:t>of</w:t>
      </w:r>
      <w:r>
        <w:rPr>
          <w:rFonts w:ascii="CG Times" w:hAnsi="CG Times"/>
        </w:rPr>
        <w:t xml:space="preserve"> full</w:t>
      </w:r>
      <w:r>
        <w:rPr>
          <w:rFonts w:ascii="CG Times" w:hAnsi="CG Times"/>
        </w:rPr>
        <w:noBreakHyphen/>
        <w:t>time overnight assignment</w:t>
      </w:r>
      <w:r>
        <w:rPr>
          <w:rFonts w:ascii="CG Times" w:hAnsi="CG Times"/>
          <w:color w:val="000000"/>
        </w:rPr>
        <w:t>s</w:t>
      </w:r>
      <w:r>
        <w:rPr>
          <w:rFonts w:ascii="CG Times" w:hAnsi="CG Times"/>
        </w:rPr>
        <w:t xml:space="preserve"> by applying the above c</w:t>
      </w:r>
      <w:r>
        <w:rPr>
          <w:rFonts w:ascii="CG Times" w:hAnsi="CG Times"/>
        </w:rPr>
        <w:t>riteria.  Those assignments not meeting the criteria should be discontinued unless the Department Manager approves exceptions on a case-by-case basis.</w:t>
      </w:r>
    </w:p>
    <w:p w14:paraId="1F2E16D1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462E119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16" w:hanging="576"/>
        <w:jc w:val="both"/>
        <w:rPr>
          <w:rFonts w:ascii="CG Times" w:hAnsi="CG Times"/>
        </w:rPr>
      </w:pPr>
      <w:r>
        <w:rPr>
          <w:rFonts w:ascii="CG Times" w:hAnsi="CG Times"/>
          <w:color w:val="000000"/>
        </w:rPr>
        <w:t>2.</w:t>
      </w:r>
      <w:r>
        <w:rPr>
          <w:rFonts w:ascii="CG Times" w:hAnsi="CG Times"/>
        </w:rPr>
        <w:tab/>
        <w:t>A written report containing the following information must be directed to the City Manager for all ne</w:t>
      </w:r>
      <w:r>
        <w:rPr>
          <w:rFonts w:ascii="CG Times" w:hAnsi="CG Times"/>
        </w:rPr>
        <w:t xml:space="preserve">w </w:t>
      </w:r>
      <w:r>
        <w:rPr>
          <w:rFonts w:ascii="CG Times" w:hAnsi="CG Times"/>
          <w:color w:val="000000"/>
        </w:rPr>
        <w:t>requests</w:t>
      </w:r>
      <w:r>
        <w:rPr>
          <w:rFonts w:ascii="CG Times" w:hAnsi="CG Times"/>
        </w:rPr>
        <w:t xml:space="preserve"> and continuing </w:t>
      </w:r>
      <w:r>
        <w:rPr>
          <w:rFonts w:ascii="CG Times" w:hAnsi="CG Times"/>
          <w:color w:val="000000"/>
        </w:rPr>
        <w:t>assignments:</w:t>
      </w:r>
    </w:p>
    <w:p w14:paraId="70649FA5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5F4D7114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2" w:hanging="576"/>
        <w:jc w:val="both"/>
        <w:rPr>
          <w:rFonts w:ascii="CG Times" w:hAnsi="CG Times"/>
        </w:rPr>
      </w:pPr>
      <w:r>
        <w:rPr>
          <w:rFonts w:ascii="CG Times" w:hAnsi="CG Times"/>
        </w:rPr>
        <w:t>a.</w:t>
      </w:r>
      <w:r>
        <w:rPr>
          <w:rFonts w:ascii="CG Times" w:hAnsi="CG Times"/>
        </w:rPr>
        <w:tab/>
        <w:t xml:space="preserve">Identify job classifications (including employee name and </w:t>
      </w:r>
      <w:r>
        <w:rPr>
          <w:rFonts w:ascii="CG Times" w:hAnsi="CG Times"/>
          <w:color w:val="000000"/>
        </w:rPr>
        <w:t>home</w:t>
      </w:r>
      <w:r>
        <w:rPr>
          <w:rFonts w:ascii="CG Times" w:hAnsi="CG Times"/>
        </w:rPr>
        <w:t xml:space="preserve"> address) requiring overnight assignment; and,</w:t>
      </w:r>
    </w:p>
    <w:p w14:paraId="38F7FAEF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1C628788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2" w:hanging="576"/>
        <w:jc w:val="both"/>
        <w:rPr>
          <w:rFonts w:ascii="CG Times" w:hAnsi="CG Times"/>
        </w:rPr>
      </w:pPr>
      <w:proofErr w:type="gramStart"/>
      <w:r>
        <w:rPr>
          <w:rFonts w:ascii="CG Times" w:hAnsi="CG Times"/>
        </w:rPr>
        <w:t>b</w:t>
      </w:r>
      <w:proofErr w:type="gramEnd"/>
      <w:r>
        <w:rPr>
          <w:rFonts w:ascii="CG Times" w:hAnsi="CG Times"/>
        </w:rPr>
        <w:t>.</w:t>
      </w:r>
      <w:r>
        <w:rPr>
          <w:rFonts w:ascii="CG Times" w:hAnsi="CG Times"/>
        </w:rPr>
        <w:tab/>
        <w:t xml:space="preserve">Specify </w:t>
      </w:r>
      <w:r>
        <w:rPr>
          <w:rFonts w:ascii="CG Times" w:hAnsi="CG Times"/>
          <w:color w:val="000000"/>
        </w:rPr>
        <w:t>the reason for the assignment or new</w:t>
      </w:r>
      <w:r>
        <w:rPr>
          <w:rFonts w:ascii="CG Times" w:hAnsi="CG Times"/>
        </w:rPr>
        <w:t xml:space="preserve"> request, including documentation, e.g., overtime, emerg</w:t>
      </w:r>
      <w:r>
        <w:rPr>
          <w:rFonts w:ascii="CG Times" w:hAnsi="CG Times"/>
        </w:rPr>
        <w:t>ency calls, meetings, etc.  This information should include the frequency for each type of occurrence on an average monthly basis.</w:t>
      </w:r>
    </w:p>
    <w:p w14:paraId="0AF624AE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</w:p>
    <w:p w14:paraId="1FE9EA8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16" w:hanging="576"/>
        <w:jc w:val="both"/>
        <w:rPr>
          <w:rFonts w:ascii="CG Times" w:hAnsi="CG Times"/>
        </w:rPr>
      </w:pPr>
      <w:r>
        <w:rPr>
          <w:rFonts w:ascii="CG Times" w:hAnsi="CG Times"/>
          <w:color w:val="000000"/>
        </w:rPr>
        <w:t>3.</w:t>
      </w:r>
      <w:r>
        <w:rPr>
          <w:rFonts w:ascii="CG Times" w:hAnsi="CG Times"/>
        </w:rPr>
        <w:tab/>
        <w:t xml:space="preserve">The City Manager will make a determination on each report and advise the department manager of his/her findings no later </w:t>
      </w:r>
      <w:r>
        <w:rPr>
          <w:rFonts w:ascii="CG Times" w:hAnsi="CG Times"/>
        </w:rPr>
        <w:t xml:space="preserve">than </w:t>
      </w:r>
      <w:r>
        <w:rPr>
          <w:rFonts w:ascii="CG Times" w:hAnsi="CG Times"/>
          <w:color w:val="000000"/>
        </w:rPr>
        <w:t>December 30.</w:t>
      </w:r>
    </w:p>
    <w:p w14:paraId="6BD5E852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83E77FF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16" w:hanging="576"/>
        <w:jc w:val="both"/>
        <w:rPr>
          <w:rFonts w:ascii="CG Times" w:hAnsi="CG Times"/>
        </w:rPr>
      </w:pPr>
      <w:r>
        <w:rPr>
          <w:rFonts w:ascii="CG Times" w:hAnsi="CG Times"/>
          <w:color w:val="000000"/>
        </w:rPr>
        <w:t>4.</w:t>
      </w:r>
      <w:r>
        <w:rPr>
          <w:rFonts w:ascii="CG Times" w:hAnsi="CG Times"/>
        </w:rPr>
        <w:tab/>
        <w:t xml:space="preserve">The final list approved by the City Manager's Office shall be forwarded to the Financial Services Department for year-end tax filings (if applicable), to the </w:t>
      </w:r>
      <w:r>
        <w:rPr>
          <w:rFonts w:ascii="CG Times" w:hAnsi="CG Times"/>
          <w:color w:val="000000"/>
        </w:rPr>
        <w:t>Fleet Board of Directors, and to each Department Manager</w:t>
      </w:r>
      <w:r>
        <w:rPr>
          <w:rFonts w:ascii="CG Times" w:hAnsi="CG Times"/>
          <w:color w:val="FF0000"/>
        </w:rPr>
        <w:t xml:space="preserve"> </w:t>
      </w:r>
      <w:r>
        <w:rPr>
          <w:rFonts w:ascii="CG Times" w:hAnsi="CG Times"/>
        </w:rPr>
        <w:t>for reference.</w:t>
      </w:r>
    </w:p>
    <w:p w14:paraId="5F8E1BD2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jc w:val="both"/>
        <w:rPr>
          <w:color w:val="FF0000"/>
        </w:rPr>
      </w:pPr>
    </w:p>
    <w:p w14:paraId="69CE2B3E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jc w:val="both"/>
      </w:pPr>
      <w:r>
        <w:rPr>
          <w:color w:val="000000"/>
        </w:rPr>
        <w:t>C.</w:t>
      </w:r>
      <w:r>
        <w:tab/>
      </w:r>
      <w:r>
        <w:t>Temporary Use of City Vehicles Overnight</w:t>
      </w:r>
    </w:p>
    <w:p w14:paraId="255DCF34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1AE2C407" w14:textId="77777777" w:rsidR="00000000" w:rsidRDefault="00433C4F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On occasion, it will be necessary for employees who do not have a City </w:t>
      </w:r>
      <w:r>
        <w:rPr>
          <w:color w:val="000000"/>
        </w:rPr>
        <w:t>vehicle</w:t>
      </w:r>
      <w:r>
        <w:rPr>
          <w:color w:val="FF0000"/>
        </w:rPr>
        <w:t xml:space="preserve"> </w:t>
      </w:r>
      <w:r>
        <w:t>assigned on a full</w:t>
      </w:r>
      <w:r>
        <w:noBreakHyphen/>
        <w:t xml:space="preserve">time basis to use a City </w:t>
      </w:r>
      <w:r>
        <w:rPr>
          <w:color w:val="000000"/>
        </w:rPr>
        <w:t>vehicle</w:t>
      </w:r>
      <w:r>
        <w:rPr>
          <w:color w:val="FF0000"/>
        </w:rPr>
        <w:t xml:space="preserve"> </w:t>
      </w:r>
      <w:r>
        <w:t>overnight for City busi</w:t>
      </w:r>
      <w:r>
        <w:softHyphen/>
        <w:t xml:space="preserve">ness.  City </w:t>
      </w:r>
      <w:r>
        <w:rPr>
          <w:color w:val="000000"/>
        </w:rPr>
        <w:t>vehicles</w:t>
      </w:r>
      <w:r>
        <w:rPr>
          <w:color w:val="FF0000"/>
        </w:rPr>
        <w:t xml:space="preserve"> </w:t>
      </w:r>
      <w:r>
        <w:t>shall be available for justified reque</w:t>
      </w:r>
      <w:r>
        <w:t>sts.  The following steps shall be followed:</w:t>
      </w:r>
    </w:p>
    <w:p w14:paraId="0886F49F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C633474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G Times" w:hAnsi="CG Times"/>
        </w:rPr>
      </w:pPr>
      <w:r>
        <w:rPr>
          <w:b/>
        </w:rPr>
        <w:lastRenderedPageBreak/>
        <w:t>II.</w:t>
      </w:r>
      <w:r>
        <w:rPr>
          <w:b/>
        </w:rPr>
        <w:tab/>
      </w:r>
      <w:r>
        <w:rPr>
          <w:b/>
          <w:u w:val="single"/>
        </w:rPr>
        <w:t>PROCEDURE</w:t>
      </w:r>
      <w:r>
        <w:rPr>
          <w:b/>
        </w:rPr>
        <w:t>:</w:t>
      </w:r>
      <w:r>
        <w:t xml:space="preserve">   continued</w:t>
      </w:r>
    </w:p>
    <w:p w14:paraId="44E024ED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5F56951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2" w:hanging="576"/>
        <w:jc w:val="both"/>
      </w:pPr>
      <w:r>
        <w:t>a.</w:t>
      </w:r>
      <w:r>
        <w:tab/>
        <w:t xml:space="preserve">An employee who believes that a City </w:t>
      </w:r>
      <w:r>
        <w:rPr>
          <w:color w:val="000000"/>
        </w:rPr>
        <w:t>vehicle</w:t>
      </w:r>
      <w:r>
        <w:t xml:space="preserve"> is needed for temporary overnight use must submit a written request to his or her Department Manager.</w:t>
      </w:r>
    </w:p>
    <w:p w14:paraId="12D644BC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117A0E3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2" w:hanging="576"/>
        <w:jc w:val="both"/>
      </w:pPr>
      <w:r>
        <w:t>b.</w:t>
      </w:r>
      <w:r>
        <w:tab/>
        <w:t>Department Managers may assi</w:t>
      </w:r>
      <w:r>
        <w:t>gn a vehicle to an employee for no longer than one week for the purpose of conducting City business.</w:t>
      </w:r>
    </w:p>
    <w:p w14:paraId="4283EDF8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A4D2433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2" w:hanging="576"/>
        <w:jc w:val="both"/>
      </w:pPr>
      <w:r>
        <w:t>c.</w:t>
      </w:r>
      <w:r>
        <w:tab/>
        <w:t>A signed request is to be submitted to the City Manager for periods exceeding one week.</w:t>
      </w:r>
    </w:p>
    <w:p w14:paraId="5C72A1F3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34BBD6EC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rPr>
          <w:b/>
        </w:rPr>
        <w:t>III.</w:t>
      </w:r>
      <w:r>
        <w:rPr>
          <w:b/>
        </w:rPr>
        <w:tab/>
      </w:r>
      <w:r>
        <w:rPr>
          <w:b/>
          <w:u w:val="single"/>
        </w:rPr>
        <w:t>GUIDELINES FOR VEHICLE USE</w:t>
      </w:r>
      <w:r>
        <w:rPr>
          <w:b/>
        </w:rPr>
        <w:t>:</w:t>
      </w:r>
    </w:p>
    <w:p w14:paraId="2530E7F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03EB19C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76"/>
        <w:jc w:val="both"/>
      </w:pPr>
      <w:r>
        <w:t>A.</w:t>
      </w:r>
      <w:r>
        <w:tab/>
        <w:t>A vehicle taken home shou</w:t>
      </w:r>
      <w:r>
        <w:t>ld be parked off the street, preferably under protective cover at the employee's residence.</w:t>
      </w:r>
    </w:p>
    <w:p w14:paraId="60309C31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43E4DA91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76"/>
        <w:jc w:val="both"/>
      </w:pPr>
      <w:r>
        <w:t>B.</w:t>
      </w:r>
      <w:r>
        <w:tab/>
        <w:t xml:space="preserve">When employees who are authorized to take City vehicles home are on vacation, or absent from work for other reasons, the vehicle shall be </w:t>
      </w:r>
      <w:r>
        <w:rPr>
          <w:color w:val="000000"/>
        </w:rPr>
        <w:t>kept</w:t>
      </w:r>
      <w:r>
        <w:rPr>
          <w:color w:val="FF0000"/>
        </w:rPr>
        <w:t xml:space="preserve"> </w:t>
      </w:r>
      <w:r>
        <w:t>on City property.</w:t>
      </w:r>
    </w:p>
    <w:p w14:paraId="3DA1D38E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043DB120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76"/>
        <w:jc w:val="both"/>
      </w:pPr>
      <w:r>
        <w:t>C.</w:t>
      </w:r>
      <w:r>
        <w:tab/>
        <w:t xml:space="preserve">The vehicle may not be utilized for any personal use other than commuting </w:t>
      </w:r>
      <w:r>
        <w:rPr>
          <w:color w:val="000000"/>
        </w:rPr>
        <w:t>and incidental stops directly on the way home from or on the way to work</w:t>
      </w:r>
      <w:r>
        <w:rPr>
          <w:color w:val="FF0000"/>
        </w:rPr>
        <w:t xml:space="preserve"> </w:t>
      </w:r>
      <w:r>
        <w:t>unless prior approval is granted in advance from the City Manager.  Per the Internal Revenue Service (IR</w:t>
      </w:r>
      <w:r>
        <w:t>S) regulations, use of the vehicle will be valued and reported as income on the employee's W-2.</w:t>
      </w:r>
    </w:p>
    <w:p w14:paraId="4DC0D77D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A17BF75" w14:textId="77777777" w:rsidR="00000000" w:rsidRDefault="00433C4F">
      <w:pPr>
        <w:tabs>
          <w:tab w:val="left" w:pos="-1440"/>
          <w:tab w:val="left" w:pos="-720"/>
          <w:tab w:val="left" w:pos="0"/>
          <w:tab w:val="left" w:pos="864"/>
          <w:tab w:val="left" w:pos="1440"/>
          <w:tab w:val="left" w:pos="2016"/>
          <w:tab w:val="left" w:pos="2592"/>
          <w:tab w:val="left" w:pos="3168"/>
          <w:tab w:val="left" w:pos="388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576"/>
        <w:jc w:val="both"/>
      </w:pPr>
      <w:r>
        <w:t>D.</w:t>
      </w:r>
      <w:r>
        <w:tab/>
        <w:t xml:space="preserve">Employees who are assigned vehicles and utilize them for personal commuting are expected to use City fueling facilities whenever possible.  All maintenance </w:t>
      </w:r>
      <w:r>
        <w:t xml:space="preserve">is to be performed by the City mechanical crews.  It is the driver's responsibility to fuel, </w:t>
      </w:r>
      <w:r>
        <w:rPr>
          <w:color w:val="000000"/>
        </w:rPr>
        <w:t>check the engine oil level,</w:t>
      </w:r>
      <w:r>
        <w:t xml:space="preserve"> and clean the vehicle (City car wash agreements are available).</w:t>
      </w:r>
    </w:p>
    <w:sectPr w:rsidR="0000000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576" w:right="1800" w:bottom="216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2E85B" w14:textId="77777777" w:rsidR="00000000" w:rsidRDefault="00433C4F">
      <w:r>
        <w:separator/>
      </w:r>
    </w:p>
  </w:endnote>
  <w:endnote w:type="continuationSeparator" w:id="0">
    <w:p w14:paraId="61BA9C52" w14:textId="77777777" w:rsidR="00000000" w:rsidRDefault="004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A1756" w14:textId="77777777" w:rsidR="00000000" w:rsidRDefault="001255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9C4B44" wp14:editId="7100620B">
              <wp:simplePos x="0" y="0"/>
              <wp:positionH relativeFrom="column">
                <wp:posOffset>-868680</wp:posOffset>
              </wp:positionH>
              <wp:positionV relativeFrom="paragraph">
                <wp:posOffset>-768350</wp:posOffset>
              </wp:positionV>
              <wp:extent cx="7223760" cy="100584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3760" cy="1005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84CDC" w14:textId="77777777" w:rsidR="00000000" w:rsidRDefault="00433C4F"/>
                        <w:p w14:paraId="23895809" w14:textId="77777777" w:rsidR="00000000" w:rsidRDefault="00433C4F"/>
                        <w:p w14:paraId="67030904" w14:textId="77777777" w:rsidR="00000000" w:rsidRDefault="00433C4F"/>
                        <w:p w14:paraId="7A7DBDAF" w14:textId="77777777" w:rsidR="00000000" w:rsidRDefault="00433C4F"/>
                        <w:p w14:paraId="44E2DD9B" w14:textId="77777777" w:rsidR="00000000" w:rsidRDefault="00433C4F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4E5C66E3" w14:textId="77777777" w:rsidR="00000000" w:rsidRDefault="00433C4F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8.4pt;margin-top:-60.5pt;width:568.8pt;height:7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" o:allowincell="f" stroked="f">
              <v:fill opacity="32896f"/>
              <v:textbox>
                <w:txbxContent>
                  <w:p w14:paraId="31584CDC" w14:textId="77777777" w:rsidR="00000000" w:rsidRDefault="00433C4F"/>
                  <w:p w14:paraId="23895809" w14:textId="77777777" w:rsidR="00000000" w:rsidRDefault="00433C4F"/>
                  <w:p w14:paraId="67030904" w14:textId="77777777" w:rsidR="00000000" w:rsidRDefault="00433C4F"/>
                  <w:p w14:paraId="7A7DBDAF" w14:textId="77777777" w:rsidR="00000000" w:rsidRDefault="00433C4F"/>
                  <w:p w14:paraId="44E2DD9B" w14:textId="77777777" w:rsidR="00000000" w:rsidRDefault="00433C4F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rFonts w:ascii="Univers" w:hAnsi="Univers"/>
                      </w:rPr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of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4E5C66E3" w14:textId="77777777" w:rsidR="00000000" w:rsidRDefault="00433C4F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30C26" w14:textId="77777777" w:rsidR="00000000" w:rsidRDefault="001255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F470B3" wp14:editId="67943FA4">
              <wp:simplePos x="0" y="0"/>
              <wp:positionH relativeFrom="column">
                <wp:posOffset>-868680</wp:posOffset>
              </wp:positionH>
              <wp:positionV relativeFrom="paragraph">
                <wp:posOffset>-768350</wp:posOffset>
              </wp:positionV>
              <wp:extent cx="7223760" cy="100584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376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402B0" w14:textId="77777777" w:rsidR="00000000" w:rsidRDefault="00433C4F"/>
                        <w:p w14:paraId="77081305" w14:textId="77777777" w:rsidR="00000000" w:rsidRDefault="00433C4F"/>
                        <w:p w14:paraId="0BCE950A" w14:textId="77777777" w:rsidR="00000000" w:rsidRDefault="00433C4F"/>
                        <w:p w14:paraId="0F385B9B" w14:textId="77777777" w:rsidR="00000000" w:rsidRDefault="00433C4F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</w:p>
                        <w:p w14:paraId="001EFAEA" w14:textId="77777777" w:rsidR="00000000" w:rsidRDefault="00433C4F">
                          <w:pPr>
                            <w:ind w:left="4320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</w:rPr>
                            <w:tab/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3F8C9FED" w14:textId="77777777" w:rsidR="00000000" w:rsidRDefault="00433C4F"/>
                        <w:p w14:paraId="10E0146E" w14:textId="77777777" w:rsidR="00000000" w:rsidRDefault="00433C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68.4pt;margin-top:-60.5pt;width:568.8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" o:allowincell="f" stroked="f">
              <v:textbox>
                <w:txbxContent>
                  <w:p w14:paraId="68A402B0" w14:textId="77777777" w:rsidR="00000000" w:rsidRDefault="00433C4F"/>
                  <w:p w14:paraId="77081305" w14:textId="77777777" w:rsidR="00000000" w:rsidRDefault="00433C4F"/>
                  <w:p w14:paraId="0BCE950A" w14:textId="77777777" w:rsidR="00000000" w:rsidRDefault="00433C4F"/>
                  <w:p w14:paraId="0F385B9B" w14:textId="77777777" w:rsidR="00000000" w:rsidRDefault="00433C4F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</w:p>
                  <w:p w14:paraId="001EFAEA" w14:textId="77777777" w:rsidR="00000000" w:rsidRDefault="00433C4F">
                    <w:pPr>
                      <w:ind w:left="4320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</w:r>
                    <w:r>
                      <w:rPr>
                        <w:rFonts w:ascii="Univers" w:hAnsi="Univers"/>
                      </w:rPr>
                      <w:tab/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of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3F8C9FED" w14:textId="77777777" w:rsidR="00000000" w:rsidRDefault="00433C4F"/>
                  <w:p w14:paraId="10E0146E" w14:textId="77777777" w:rsidR="00000000" w:rsidRDefault="00433C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8DEAA" w14:textId="77777777" w:rsidR="00000000" w:rsidRDefault="00433C4F">
      <w:r>
        <w:separator/>
      </w:r>
    </w:p>
  </w:footnote>
  <w:footnote w:type="continuationSeparator" w:id="0">
    <w:p w14:paraId="1C9C25F6" w14:textId="77777777" w:rsidR="00000000" w:rsidRDefault="0043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5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530"/>
      <w:gridCol w:w="1260"/>
      <w:gridCol w:w="5580"/>
      <w:gridCol w:w="810"/>
      <w:gridCol w:w="1890"/>
    </w:tblGrid>
    <w:tr w:rsidR="00000000" w14:paraId="708908B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 w:val="restart"/>
        </w:tcPr>
        <w:p w14:paraId="1484F584" w14:textId="77777777" w:rsidR="00000000" w:rsidRDefault="0012550A">
          <w:pPr>
            <w:pStyle w:val="Heading2"/>
            <w:ind w:firstLine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20294B61" wp14:editId="6B3D9902">
                    <wp:simplePos x="0" y="0"/>
                    <wp:positionH relativeFrom="column">
                      <wp:posOffset>594360</wp:posOffset>
                    </wp:positionH>
                    <wp:positionV relativeFrom="paragraph">
                      <wp:posOffset>19050</wp:posOffset>
                    </wp:positionV>
                    <wp:extent cx="3291840" cy="346710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91840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A74C2" w14:textId="77777777" w:rsidR="00000000" w:rsidRDefault="00433C4F">
                                <w:pPr>
                                  <w:pStyle w:val="Heading1"/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ADMINISTRATIVE PROCEDURE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6.8pt;margin-top:1.5pt;width:259.2pt;height:2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" o:allowincell="f" stroked="f">
                    <v:fill opacity="32896f"/>
                    <v:textbox>
                      <w:txbxContent>
                        <w:p w14:paraId="3D5A74C2" w14:textId="77777777" w:rsidR="00000000" w:rsidRDefault="00433C4F">
                          <w:pPr>
                            <w:pStyle w:val="Heading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ADMINISTRATIVE PROCEDURE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0" allowOverlap="1" wp14:anchorId="3523DA96" wp14:editId="3B8585E2">
                <wp:simplePos x="0" y="0"/>
                <wp:positionH relativeFrom="column">
                  <wp:posOffset>-777240</wp:posOffset>
                </wp:positionH>
                <wp:positionV relativeFrom="paragraph">
                  <wp:posOffset>19050</wp:posOffset>
                </wp:positionV>
                <wp:extent cx="800100" cy="822960"/>
                <wp:effectExtent l="0" t="0" r="0" b="0"/>
                <wp:wrapNone/>
                <wp:docPr id="4" name="Picture 3" descr="cityl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tyl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40" w:type="dxa"/>
          <w:gridSpan w:val="2"/>
          <w:vMerge w:val="restart"/>
        </w:tcPr>
        <w:p w14:paraId="4BCB7C0E" w14:textId="77777777" w:rsidR="00000000" w:rsidRDefault="00433C4F">
          <w:pPr>
            <w:pStyle w:val="Heading2"/>
            <w:ind w:firstLine="0"/>
          </w:pPr>
        </w:p>
      </w:tc>
      <w:tc>
        <w:tcPr>
          <w:tcW w:w="810" w:type="dxa"/>
        </w:tcPr>
        <w:p w14:paraId="5862FA47" w14:textId="77777777" w:rsidR="00000000" w:rsidRDefault="00433C4F">
          <w:pPr>
            <w:pStyle w:val="Heading2"/>
            <w:ind w:firstLine="0"/>
            <w:rPr>
              <w:rFonts w:ascii="Univers" w:hAnsi="Univers"/>
              <w:sz w:val="20"/>
            </w:rPr>
          </w:pPr>
          <w:r>
            <w:rPr>
              <w:rFonts w:ascii="Univers" w:hAnsi="Univers"/>
              <w:sz w:val="20"/>
            </w:rPr>
            <w:t>NO.</w:t>
          </w:r>
        </w:p>
      </w:tc>
      <w:tc>
        <w:tcPr>
          <w:tcW w:w="1890" w:type="dxa"/>
        </w:tcPr>
        <w:p w14:paraId="682863C9" w14:textId="77777777" w:rsidR="00000000" w:rsidRDefault="00433C4F">
          <w:pPr>
            <w:pStyle w:val="Heading2"/>
            <w:ind w:firstLine="0"/>
          </w:pPr>
          <w:r>
            <w:rPr>
              <w:rFonts w:ascii="CG Times" w:hAnsi="CG Times"/>
            </w:rPr>
            <w:t>I-13B   Rev. ____</w:t>
          </w:r>
        </w:p>
      </w:tc>
    </w:tr>
    <w:tr w:rsidR="00000000" w14:paraId="646E589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5420F1A8" w14:textId="77777777" w:rsidR="00000000" w:rsidRDefault="00433C4F">
          <w:pPr>
            <w:pStyle w:val="Heading2"/>
            <w:ind w:firstLine="0"/>
          </w:pPr>
        </w:p>
      </w:tc>
      <w:tc>
        <w:tcPr>
          <w:tcW w:w="6840" w:type="dxa"/>
          <w:gridSpan w:val="2"/>
          <w:vMerge/>
        </w:tcPr>
        <w:p w14:paraId="0EE3A050" w14:textId="77777777" w:rsidR="00000000" w:rsidRDefault="00433C4F">
          <w:pPr>
            <w:pStyle w:val="Heading2"/>
            <w:ind w:firstLine="0"/>
          </w:pPr>
        </w:p>
      </w:tc>
      <w:tc>
        <w:tcPr>
          <w:tcW w:w="810" w:type="dxa"/>
          <w:tcBorders>
            <w:bottom w:val="nil"/>
          </w:tcBorders>
        </w:tcPr>
        <w:p w14:paraId="4D89CE37" w14:textId="77777777" w:rsidR="00000000" w:rsidRDefault="00433C4F">
          <w:pPr>
            <w:pStyle w:val="Heading2"/>
            <w:ind w:firstLine="0"/>
            <w:rPr>
              <w:rFonts w:ascii="Univers" w:hAnsi="Univers"/>
              <w:sz w:val="20"/>
            </w:rPr>
          </w:pPr>
          <w:r>
            <w:rPr>
              <w:rFonts w:ascii="Univers" w:hAnsi="Univers"/>
              <w:sz w:val="20"/>
            </w:rPr>
            <w:t>DATE</w:t>
          </w:r>
        </w:p>
      </w:tc>
      <w:tc>
        <w:tcPr>
          <w:tcW w:w="1890" w:type="dxa"/>
          <w:tcBorders>
            <w:bottom w:val="nil"/>
          </w:tcBorders>
        </w:tcPr>
        <w:p w14:paraId="3AB8F3D0" w14:textId="77777777" w:rsidR="00000000" w:rsidRDefault="00433C4F">
          <w:pPr>
            <w:pStyle w:val="Heading2"/>
            <w:ind w:firstLine="0"/>
            <w:rPr>
              <w:sz w:val="22"/>
            </w:rPr>
          </w:pPr>
          <w:r>
            <w:rPr>
              <w:sz w:val="22"/>
            </w:rPr>
            <w:t>6/1/03</w:t>
          </w:r>
        </w:p>
      </w:tc>
    </w:tr>
    <w:tr w:rsidR="00000000" w14:paraId="05B2EE1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784A6802" w14:textId="77777777" w:rsidR="00000000" w:rsidRDefault="00433C4F">
          <w:pPr>
            <w:pStyle w:val="Heading2"/>
            <w:ind w:firstLine="0"/>
          </w:pPr>
        </w:p>
      </w:tc>
      <w:tc>
        <w:tcPr>
          <w:tcW w:w="1260" w:type="dxa"/>
        </w:tcPr>
        <w:p w14:paraId="598500EC" w14:textId="77777777" w:rsidR="00000000" w:rsidRDefault="00433C4F">
          <w:pPr>
            <w:pStyle w:val="Heading2"/>
            <w:ind w:firstLine="0"/>
            <w:rPr>
              <w:rFonts w:ascii="Univers" w:hAnsi="Univers"/>
              <w:sz w:val="20"/>
            </w:rPr>
          </w:pPr>
          <w:r>
            <w:rPr>
              <w:rFonts w:ascii="Univers" w:hAnsi="Univers"/>
              <w:sz w:val="20"/>
            </w:rPr>
            <w:t>SUBJECT:</w:t>
          </w:r>
        </w:p>
      </w:tc>
      <w:tc>
        <w:tcPr>
          <w:tcW w:w="5580" w:type="dxa"/>
        </w:tcPr>
        <w:p w14:paraId="5E8142A9" w14:textId="77777777" w:rsidR="00000000" w:rsidRDefault="00433C4F">
          <w:pPr>
            <w:pStyle w:val="Heading2"/>
            <w:ind w:firstLine="0"/>
            <w:jc w:val="center"/>
            <w:rPr>
              <w:color w:val="FF0000"/>
            </w:rPr>
          </w:pPr>
          <w:r>
            <w:rPr>
              <w:rFonts w:ascii="CG Times" w:hAnsi="CG Times"/>
              <w:b/>
            </w:rPr>
            <w:t>USE OF CITY VEHICLE</w:t>
          </w:r>
          <w:r>
            <w:rPr>
              <w:rFonts w:ascii="CG Times" w:hAnsi="CG Times"/>
              <w:b/>
            </w:rPr>
            <w:t>S</w:t>
          </w:r>
        </w:p>
      </w:tc>
      <w:tc>
        <w:tcPr>
          <w:tcW w:w="2700" w:type="dxa"/>
          <w:gridSpan w:val="2"/>
          <w:vMerge w:val="restart"/>
          <w:tcBorders>
            <w:bottom w:val="single" w:sz="12" w:space="0" w:color="auto"/>
          </w:tcBorders>
        </w:tcPr>
        <w:p w14:paraId="1FE740F0" w14:textId="77777777" w:rsidR="00000000" w:rsidRDefault="00433C4F">
          <w:pPr>
            <w:pStyle w:val="Heading2"/>
            <w:ind w:firstLine="0"/>
          </w:pPr>
          <w:r>
            <w:object w:dxaOrig="4246" w:dyaOrig="3165" w14:anchorId="0C6DFD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7.5pt;height:36pt" o:ole="" fillcolor="window">
                <v:imagedata r:id="rId2" o:title=""/>
              </v:shape>
              <o:OLEObject Type="Embed" ProgID="MSPhotoEd.3" ShapeID="_x0000_i1026" DrawAspect="Content" ObjectID="_1390203837" r:id="rId3"/>
            </w:object>
          </w:r>
        </w:p>
      </w:tc>
    </w:tr>
    <w:tr w:rsidR="00000000" w14:paraId="34401216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3C65877B" w14:textId="77777777" w:rsidR="00000000" w:rsidRDefault="00433C4F">
          <w:pPr>
            <w:pStyle w:val="Heading2"/>
            <w:ind w:firstLine="0"/>
          </w:pPr>
        </w:p>
      </w:tc>
      <w:tc>
        <w:tcPr>
          <w:tcW w:w="1260" w:type="dxa"/>
        </w:tcPr>
        <w:p w14:paraId="1E0B5553" w14:textId="77777777" w:rsidR="00000000" w:rsidRDefault="00433C4F">
          <w:pPr>
            <w:pStyle w:val="Heading2"/>
            <w:ind w:firstLine="0"/>
          </w:pPr>
        </w:p>
      </w:tc>
      <w:tc>
        <w:tcPr>
          <w:tcW w:w="5580" w:type="dxa"/>
        </w:tcPr>
        <w:p w14:paraId="33D50A40" w14:textId="77777777" w:rsidR="00000000" w:rsidRDefault="00433C4F">
          <w:pPr>
            <w:pStyle w:val="Heading2"/>
            <w:ind w:firstLine="0"/>
          </w:pPr>
        </w:p>
      </w:tc>
      <w:tc>
        <w:tcPr>
          <w:tcW w:w="2700" w:type="dxa"/>
          <w:gridSpan w:val="2"/>
          <w:vMerge/>
          <w:tcBorders>
            <w:bottom w:val="single" w:sz="12" w:space="0" w:color="auto"/>
          </w:tcBorders>
        </w:tcPr>
        <w:p w14:paraId="0EF6FC77" w14:textId="77777777" w:rsidR="00000000" w:rsidRDefault="00433C4F">
          <w:pPr>
            <w:pStyle w:val="Heading2"/>
            <w:ind w:firstLine="0"/>
          </w:pPr>
        </w:p>
      </w:tc>
    </w:tr>
    <w:tr w:rsidR="00000000" w14:paraId="6DEEE6D8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190299F4" w14:textId="77777777" w:rsidR="00000000" w:rsidRDefault="00433C4F">
          <w:pPr>
            <w:pStyle w:val="Heading2"/>
            <w:ind w:firstLine="0"/>
          </w:pPr>
        </w:p>
      </w:tc>
      <w:tc>
        <w:tcPr>
          <w:tcW w:w="1260" w:type="dxa"/>
        </w:tcPr>
        <w:p w14:paraId="13D8F5D1" w14:textId="77777777" w:rsidR="00000000" w:rsidRDefault="00433C4F">
          <w:pPr>
            <w:pStyle w:val="Heading2"/>
            <w:ind w:firstLine="0"/>
          </w:pPr>
        </w:p>
      </w:tc>
      <w:tc>
        <w:tcPr>
          <w:tcW w:w="5580" w:type="dxa"/>
        </w:tcPr>
        <w:p w14:paraId="055B140B" w14:textId="77777777" w:rsidR="00000000" w:rsidRDefault="00433C4F">
          <w:pPr>
            <w:pStyle w:val="Heading2"/>
            <w:ind w:firstLine="0"/>
          </w:pPr>
        </w:p>
      </w:tc>
      <w:tc>
        <w:tcPr>
          <w:tcW w:w="2700" w:type="dxa"/>
          <w:gridSpan w:val="2"/>
          <w:tcBorders>
            <w:top w:val="nil"/>
          </w:tcBorders>
        </w:tcPr>
        <w:p w14:paraId="121C978E" w14:textId="77777777" w:rsidR="00000000" w:rsidRDefault="00433C4F">
          <w:pPr>
            <w:pStyle w:val="Heading2"/>
            <w:ind w:firstLine="0"/>
            <w:jc w:val="center"/>
            <w:rPr>
              <w:rFonts w:ascii="Univers" w:hAnsi="Univers"/>
              <w:sz w:val="18"/>
            </w:rPr>
          </w:pPr>
          <w:r>
            <w:rPr>
              <w:rFonts w:ascii="Univers" w:hAnsi="Univers"/>
              <w:sz w:val="18"/>
            </w:rPr>
            <w:t>CITY MANAGER</w:t>
          </w:r>
        </w:p>
      </w:tc>
    </w:tr>
  </w:tbl>
  <w:p w14:paraId="011AD885" w14:textId="77777777" w:rsidR="00000000" w:rsidRDefault="00433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5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530"/>
      <w:gridCol w:w="1260"/>
      <w:gridCol w:w="5490"/>
      <w:gridCol w:w="810"/>
      <w:gridCol w:w="1890"/>
    </w:tblGrid>
    <w:tr w:rsidR="00000000" w14:paraId="55A6CE5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 w:val="restart"/>
        </w:tcPr>
        <w:p w14:paraId="72C118F1" w14:textId="77777777" w:rsidR="00000000" w:rsidRDefault="0012550A">
          <w:pPr>
            <w:pStyle w:val="Heading2"/>
            <w:ind w:firstLine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6BE20E1" wp14:editId="37002C55">
                    <wp:simplePos x="0" y="0"/>
                    <wp:positionH relativeFrom="column">
                      <wp:posOffset>594360</wp:posOffset>
                    </wp:positionH>
                    <wp:positionV relativeFrom="paragraph">
                      <wp:posOffset>-91440</wp:posOffset>
                    </wp:positionV>
                    <wp:extent cx="3291840" cy="34671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91840" cy="34671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A837F" w14:textId="77777777" w:rsidR="00000000" w:rsidRDefault="00433C4F">
                                <w:pPr>
                                  <w:pStyle w:val="Heading1"/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ADMINISTRATIVE PROCEDURE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margin-left:46.8pt;margin-top:-7.2pt;width:259.2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" o:allowincell="f" stroked="f">
                    <v:fill opacity="32896f"/>
                    <v:textbox>
                      <w:txbxContent>
                        <w:p w14:paraId="4A3A837F" w14:textId="77777777" w:rsidR="00000000" w:rsidRDefault="00433C4F">
                          <w:pPr>
                            <w:pStyle w:val="Heading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ADMINISTRATIVE PROCEDURE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CB1957E" wp14:editId="63C0C9BB">
                <wp:simplePos x="0" y="0"/>
                <wp:positionH relativeFrom="column">
                  <wp:posOffset>-777240</wp:posOffset>
                </wp:positionH>
                <wp:positionV relativeFrom="paragraph">
                  <wp:posOffset>19050</wp:posOffset>
                </wp:positionV>
                <wp:extent cx="800100" cy="822960"/>
                <wp:effectExtent l="0" t="0" r="0" b="0"/>
                <wp:wrapNone/>
                <wp:docPr id="7" name="Picture 7" descr="cityl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ityl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50" w:type="dxa"/>
          <w:gridSpan w:val="2"/>
          <w:vMerge w:val="restart"/>
        </w:tcPr>
        <w:p w14:paraId="74E6C591" w14:textId="77777777" w:rsidR="00000000" w:rsidRDefault="00433C4F">
          <w:pPr>
            <w:pStyle w:val="Heading2"/>
            <w:ind w:firstLine="0"/>
          </w:pPr>
        </w:p>
      </w:tc>
      <w:tc>
        <w:tcPr>
          <w:tcW w:w="810" w:type="dxa"/>
        </w:tcPr>
        <w:p w14:paraId="54363ACB" w14:textId="77777777" w:rsidR="00000000" w:rsidRDefault="00433C4F">
          <w:pPr>
            <w:pStyle w:val="Heading2"/>
            <w:ind w:firstLine="0"/>
            <w:rPr>
              <w:rFonts w:ascii="Univers" w:hAnsi="Univers"/>
              <w:sz w:val="20"/>
            </w:rPr>
          </w:pPr>
          <w:r>
            <w:rPr>
              <w:rFonts w:ascii="Univers" w:hAnsi="Univers"/>
              <w:sz w:val="20"/>
            </w:rPr>
            <w:t>NO.</w:t>
          </w:r>
        </w:p>
      </w:tc>
      <w:tc>
        <w:tcPr>
          <w:tcW w:w="1890" w:type="dxa"/>
        </w:tcPr>
        <w:p w14:paraId="3F7A65F9" w14:textId="77777777" w:rsidR="00000000" w:rsidRDefault="00433C4F">
          <w:pPr>
            <w:pStyle w:val="Heading2"/>
            <w:ind w:firstLine="0"/>
          </w:pPr>
          <w:r>
            <w:rPr>
              <w:rFonts w:ascii="CG Times" w:hAnsi="CG Times"/>
            </w:rPr>
            <w:t>I-13B   Rev. ____</w:t>
          </w:r>
        </w:p>
      </w:tc>
    </w:tr>
    <w:tr w:rsidR="00000000" w14:paraId="1E6D938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7B467AA7" w14:textId="77777777" w:rsidR="00000000" w:rsidRDefault="00433C4F">
          <w:pPr>
            <w:pStyle w:val="Heading2"/>
            <w:ind w:firstLine="0"/>
          </w:pPr>
        </w:p>
      </w:tc>
      <w:tc>
        <w:tcPr>
          <w:tcW w:w="6750" w:type="dxa"/>
          <w:gridSpan w:val="2"/>
          <w:vMerge/>
        </w:tcPr>
        <w:p w14:paraId="59DC4876" w14:textId="77777777" w:rsidR="00000000" w:rsidRDefault="00433C4F">
          <w:pPr>
            <w:pStyle w:val="Heading2"/>
            <w:ind w:firstLine="0"/>
          </w:pPr>
        </w:p>
      </w:tc>
      <w:tc>
        <w:tcPr>
          <w:tcW w:w="810" w:type="dxa"/>
          <w:tcBorders>
            <w:bottom w:val="nil"/>
          </w:tcBorders>
        </w:tcPr>
        <w:p w14:paraId="72D4B101" w14:textId="77777777" w:rsidR="00000000" w:rsidRDefault="00433C4F">
          <w:pPr>
            <w:pStyle w:val="Heading2"/>
            <w:ind w:firstLine="0"/>
            <w:rPr>
              <w:rFonts w:ascii="Univers" w:hAnsi="Univers"/>
              <w:sz w:val="20"/>
            </w:rPr>
          </w:pPr>
          <w:r>
            <w:rPr>
              <w:rFonts w:ascii="Univers" w:hAnsi="Univers"/>
              <w:sz w:val="20"/>
            </w:rPr>
            <w:t>DATE</w:t>
          </w:r>
        </w:p>
      </w:tc>
      <w:tc>
        <w:tcPr>
          <w:tcW w:w="1890" w:type="dxa"/>
          <w:tcBorders>
            <w:bottom w:val="nil"/>
          </w:tcBorders>
        </w:tcPr>
        <w:p w14:paraId="649760E8" w14:textId="77777777" w:rsidR="00000000" w:rsidRDefault="00433C4F">
          <w:pPr>
            <w:pStyle w:val="Heading2"/>
            <w:ind w:firstLine="0"/>
            <w:rPr>
              <w:sz w:val="22"/>
            </w:rPr>
          </w:pPr>
          <w:r>
            <w:rPr>
              <w:sz w:val="22"/>
            </w:rPr>
            <w:t>6/1/03</w:t>
          </w:r>
        </w:p>
      </w:tc>
    </w:tr>
    <w:tr w:rsidR="00000000" w14:paraId="59F284B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6CC257F2" w14:textId="77777777" w:rsidR="00000000" w:rsidRDefault="00433C4F">
          <w:pPr>
            <w:pStyle w:val="Heading2"/>
            <w:ind w:firstLine="0"/>
          </w:pPr>
        </w:p>
      </w:tc>
      <w:tc>
        <w:tcPr>
          <w:tcW w:w="1260" w:type="dxa"/>
        </w:tcPr>
        <w:p w14:paraId="76B4C2F1" w14:textId="77777777" w:rsidR="00000000" w:rsidRDefault="00433C4F">
          <w:pPr>
            <w:pStyle w:val="Heading2"/>
            <w:ind w:firstLine="0"/>
            <w:rPr>
              <w:rFonts w:ascii="Univers" w:hAnsi="Univers"/>
              <w:sz w:val="20"/>
            </w:rPr>
          </w:pPr>
          <w:r>
            <w:rPr>
              <w:rFonts w:ascii="Univers" w:hAnsi="Univers"/>
              <w:sz w:val="20"/>
            </w:rPr>
            <w:t>SUBJECT:</w:t>
          </w:r>
        </w:p>
      </w:tc>
      <w:tc>
        <w:tcPr>
          <w:tcW w:w="5490" w:type="dxa"/>
        </w:tcPr>
        <w:p w14:paraId="0FA78446" w14:textId="77777777" w:rsidR="00000000" w:rsidRDefault="00433C4F">
          <w:pPr>
            <w:pStyle w:val="Heading2"/>
            <w:ind w:firstLine="0"/>
            <w:jc w:val="center"/>
          </w:pPr>
          <w:r>
            <w:rPr>
              <w:rFonts w:ascii="CG Times" w:hAnsi="CG Times"/>
              <w:b/>
            </w:rPr>
            <w:t>USE OF CITY VEHICLES</w:t>
          </w:r>
        </w:p>
      </w:tc>
      <w:tc>
        <w:tcPr>
          <w:tcW w:w="2700" w:type="dxa"/>
          <w:gridSpan w:val="2"/>
          <w:vMerge w:val="restart"/>
          <w:tcBorders>
            <w:bottom w:val="single" w:sz="12" w:space="0" w:color="auto"/>
          </w:tcBorders>
        </w:tcPr>
        <w:p w14:paraId="288A3A7D" w14:textId="77777777" w:rsidR="00000000" w:rsidRDefault="00433C4F">
          <w:pPr>
            <w:pStyle w:val="Heading2"/>
            <w:ind w:firstLine="0"/>
          </w:pPr>
          <w:r>
            <w:object w:dxaOrig="4246" w:dyaOrig="3165" w14:anchorId="7607E5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5pt;height:36pt" o:ole="" fillcolor="window">
                <v:imagedata r:id="rId2" o:title=""/>
              </v:shape>
              <o:OLEObject Type="Embed" ProgID="MSPhotoEd.3" ShapeID="_x0000_i1025" DrawAspect="Content" ObjectID="_1390203838" r:id="rId3"/>
            </w:object>
          </w:r>
        </w:p>
      </w:tc>
    </w:tr>
    <w:tr w:rsidR="00000000" w14:paraId="632D4F6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47D9EF8A" w14:textId="77777777" w:rsidR="00000000" w:rsidRDefault="00433C4F">
          <w:pPr>
            <w:pStyle w:val="Heading2"/>
            <w:ind w:firstLine="0"/>
          </w:pPr>
        </w:p>
      </w:tc>
      <w:tc>
        <w:tcPr>
          <w:tcW w:w="1260" w:type="dxa"/>
        </w:tcPr>
        <w:p w14:paraId="0EC76E88" w14:textId="77777777" w:rsidR="00000000" w:rsidRDefault="00433C4F">
          <w:pPr>
            <w:pStyle w:val="Heading2"/>
            <w:ind w:firstLine="0"/>
          </w:pPr>
        </w:p>
      </w:tc>
      <w:tc>
        <w:tcPr>
          <w:tcW w:w="5490" w:type="dxa"/>
        </w:tcPr>
        <w:p w14:paraId="13E81261" w14:textId="77777777" w:rsidR="00000000" w:rsidRDefault="00433C4F">
          <w:pPr>
            <w:pStyle w:val="Heading2"/>
            <w:ind w:firstLine="0"/>
            <w:jc w:val="center"/>
            <w:rPr>
              <w:b/>
              <w:color w:val="FF0000"/>
            </w:rPr>
          </w:pPr>
        </w:p>
      </w:tc>
      <w:tc>
        <w:tcPr>
          <w:tcW w:w="2700" w:type="dxa"/>
          <w:gridSpan w:val="2"/>
          <w:vMerge/>
          <w:tcBorders>
            <w:bottom w:val="single" w:sz="12" w:space="0" w:color="auto"/>
          </w:tcBorders>
        </w:tcPr>
        <w:p w14:paraId="4915C4D7" w14:textId="77777777" w:rsidR="00000000" w:rsidRDefault="00433C4F">
          <w:pPr>
            <w:pStyle w:val="Heading2"/>
            <w:ind w:firstLine="0"/>
          </w:pPr>
        </w:p>
      </w:tc>
    </w:tr>
    <w:tr w:rsidR="00000000" w14:paraId="0C745C4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530" w:type="dxa"/>
          <w:vMerge/>
        </w:tcPr>
        <w:p w14:paraId="5C4B564A" w14:textId="77777777" w:rsidR="00000000" w:rsidRDefault="00433C4F">
          <w:pPr>
            <w:pStyle w:val="Heading2"/>
            <w:ind w:firstLine="0"/>
          </w:pPr>
        </w:p>
      </w:tc>
      <w:tc>
        <w:tcPr>
          <w:tcW w:w="1260" w:type="dxa"/>
        </w:tcPr>
        <w:p w14:paraId="513A401B" w14:textId="77777777" w:rsidR="00000000" w:rsidRDefault="00433C4F">
          <w:pPr>
            <w:pStyle w:val="Heading2"/>
            <w:ind w:firstLine="0"/>
          </w:pPr>
        </w:p>
      </w:tc>
      <w:tc>
        <w:tcPr>
          <w:tcW w:w="5490" w:type="dxa"/>
        </w:tcPr>
        <w:p w14:paraId="42BA22E0" w14:textId="77777777" w:rsidR="00000000" w:rsidRDefault="00433C4F">
          <w:pPr>
            <w:pStyle w:val="Heading2"/>
            <w:ind w:firstLine="0"/>
          </w:pPr>
        </w:p>
      </w:tc>
      <w:tc>
        <w:tcPr>
          <w:tcW w:w="2700" w:type="dxa"/>
          <w:gridSpan w:val="2"/>
          <w:tcBorders>
            <w:top w:val="nil"/>
          </w:tcBorders>
        </w:tcPr>
        <w:p w14:paraId="79D8C7C2" w14:textId="77777777" w:rsidR="00000000" w:rsidRDefault="00433C4F">
          <w:pPr>
            <w:pStyle w:val="Heading2"/>
            <w:ind w:firstLine="0"/>
            <w:jc w:val="center"/>
            <w:rPr>
              <w:rFonts w:ascii="Univers" w:hAnsi="Univers"/>
              <w:sz w:val="18"/>
            </w:rPr>
          </w:pPr>
          <w:r>
            <w:rPr>
              <w:rFonts w:ascii="Univers" w:hAnsi="Univers"/>
              <w:sz w:val="18"/>
            </w:rPr>
            <w:t>CITY MANAGER</w:t>
          </w:r>
        </w:p>
      </w:tc>
    </w:tr>
  </w:tbl>
  <w:p w14:paraId="67041057" w14:textId="77777777" w:rsidR="00000000" w:rsidRDefault="00433C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98D"/>
    <w:multiLevelType w:val="hybridMultilevel"/>
    <w:tmpl w:val="505686EA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71E54CF"/>
    <w:multiLevelType w:val="hybridMultilevel"/>
    <w:tmpl w:val="127EE5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2E754F7"/>
    <w:multiLevelType w:val="hybridMultilevel"/>
    <w:tmpl w:val="E496DD16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0A"/>
    <w:rsid w:val="0012550A"/>
    <w:rsid w:val="004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0DF6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Times" w:hAnsi="CG 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5.app\Microsoft%20Office%2097%20Pro\Templates\Administrative%20Procedu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eb8b5f0-7434-4e20-9a15-d90e833f24cb">I. Administrative</Section>
    <Revised_x0020_Date xmlns="9eb8b5f0-7434-4e20-9a15-d90e833f24cb">2003-06-01T17:55:11+00:00</Revised_x0020_Date>
    <_dlc_DocId xmlns="0720e0b5-11da-4ed8-9e24-7bea9fdcd9a4">VSCVH2QJ6HD2-16-253</_dlc_DocId>
    <_dlc_DocIdUrl xmlns="0720e0b5-11da-4ed8-9e24-7bea9fdcd9a4">
      <Url>http://chwshr03/_layouts/DocIdRedir.aspx?ID=VSCVH2QJ6HD2-16-253</Url>
      <Description>VSCVH2QJ6HD2-16-253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B82C78EE493448C7E9EBCB6991031" ma:contentTypeVersion="3" ma:contentTypeDescription="Create a new document." ma:contentTypeScope="" ma:versionID="97358e2681f0a732b18c528aac0bba53">
  <xsd:schema xmlns:xsd="http://www.w3.org/2001/XMLSchema" xmlns:xs="http://www.w3.org/2001/XMLSchema" xmlns:p="http://schemas.microsoft.com/office/2006/metadata/properties" xmlns:ns2="9eb8b5f0-7434-4e20-9a15-d90e833f24cb" xmlns:ns3="0720e0b5-11da-4ed8-9e24-7bea9fdcd9a4" targetNamespace="http://schemas.microsoft.com/office/2006/metadata/properties" ma:root="true" ma:fieldsID="cfd39cc88bd3c6959d5fa489695a6c0f" ns2:_="" ns3:_="">
    <xsd:import namespace="9eb8b5f0-7434-4e20-9a15-d90e833f24cb"/>
    <xsd:import namespace="0720e0b5-11da-4ed8-9e24-7bea9fdcd9a4"/>
    <xsd:element name="properties">
      <xsd:complexType>
        <xsd:sequence>
          <xsd:element name="documentManagement">
            <xsd:complexType>
              <xsd:all>
                <xsd:element ref="ns2:Section"/>
                <xsd:element ref="ns2:Revis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8b5f0-7434-4e20-9a15-d90e833f24cb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I. Administrative"/>
          <xsd:enumeration value="II. Personnel"/>
          <xsd:enumeration value="III. Technology"/>
          <xsd:enumeration value="IV. Risk Management"/>
          <xsd:enumeration value="V. Safety"/>
          <xsd:enumeration value="VI. Financial"/>
          <xsd:enumeration value=".Introduction and Template"/>
        </xsd:restriction>
      </xsd:simpleType>
    </xsd:element>
    <xsd:element name="Revised_x0020_Date" ma:index="9" nillable="true" ma:displayName="Revised Date" ma:default="[today]" ma:format="DateOnly" ma:internalName="Revis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e0b5-11da-4ed8-9e24-7bea9fdcd9a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1FEF69-CF60-4AF0-B10D-9192F039DD0D}"/>
</file>

<file path=customXml/itemProps2.xml><?xml version="1.0" encoding="utf-8"?>
<ds:datastoreItem xmlns:ds="http://schemas.openxmlformats.org/officeDocument/2006/customXml" ds:itemID="{6C404776-B60D-4EA4-A179-FAFD1A721EBE}"/>
</file>

<file path=customXml/itemProps3.xml><?xml version="1.0" encoding="utf-8"?>
<ds:datastoreItem xmlns:ds="http://schemas.openxmlformats.org/officeDocument/2006/customXml" ds:itemID="{A8A968FE-CC81-4F27-BCA6-13364F1F0CE6}"/>
</file>

<file path=customXml/itemProps4.xml><?xml version="1.0" encoding="utf-8"?>
<ds:datastoreItem xmlns:ds="http://schemas.openxmlformats.org/officeDocument/2006/customXml" ds:itemID="{F37C4056-EA56-4134-B6C9-DF49B5F94A2D}"/>
</file>

<file path=customXml/itemProps5.xml><?xml version="1.0" encoding="utf-8"?>
<ds:datastoreItem xmlns:ds="http://schemas.openxmlformats.org/officeDocument/2006/customXml" ds:itemID="{ED36D31E-55BE-4148-963C-7318036249E0}"/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Procedures</Template>
  <TotalTime>0</TotalTime>
  <Pages>3</Pages>
  <Words>754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4784</CharactersWithSpaces>
  <SharedDoc>false</SharedDoc>
  <HLinks>
    <vt:vector size="12" baseType="variant">
      <vt:variant>
        <vt:i4>4587540</vt:i4>
      </vt:variant>
      <vt:variant>
        <vt:i4>-1</vt:i4>
      </vt:variant>
      <vt:variant>
        <vt:i4>2051</vt:i4>
      </vt:variant>
      <vt:variant>
        <vt:i4>1</vt:i4>
      </vt:variant>
      <vt:variant>
        <vt:lpwstr>citylgo1</vt:lpwstr>
      </vt:variant>
      <vt:variant>
        <vt:lpwstr/>
      </vt:variant>
      <vt:variant>
        <vt:i4>4587540</vt:i4>
      </vt:variant>
      <vt:variant>
        <vt:i4>-1</vt:i4>
      </vt:variant>
      <vt:variant>
        <vt:i4>2055</vt:i4>
      </vt:variant>
      <vt:variant>
        <vt:i4>1</vt:i4>
      </vt:variant>
      <vt:variant>
        <vt:lpwstr>citylgo1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b.Use of City Vehicles</dc:title>
  <dc:creator>City of Burbank</dc:creator>
  <cp:lastModifiedBy>Moon, Dena</cp:lastModifiedBy>
  <cp:revision>3</cp:revision>
  <cp:lastPrinted>2004-03-23T22:03:00Z</cp:lastPrinted>
  <dcterms:created xsi:type="dcterms:W3CDTF">2012-02-08T18:55:00Z</dcterms:created>
  <dcterms:modified xsi:type="dcterms:W3CDTF">2012-02-08T18:55:00Z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1107065763</vt:i4>
  </property>
  <property fmtid="{D5CDD505-2E9C-101B-9397-08002B2CF9AE}" pid="3" name="_EmailSubject">
    <vt:lpwstr>AP Revisions</vt:lpwstr>
  </property>
  <property fmtid="{D5CDD505-2E9C-101B-9397-08002B2CF9AE}" pid="4" name="_AuthorEmail">
    <vt:lpwstr>SRichardson@ci.burbank.ca.us</vt:lpwstr>
  </property>
  <property fmtid="{D5CDD505-2E9C-101B-9397-08002B2CF9AE}" pid="5" name="_AuthorEmailDisplayName">
    <vt:lpwstr>Richardson, Sherry</vt:lpwstr>
  </property>
  <property fmtid="{D5CDD505-2E9C-101B-9397-08002B2CF9AE}" pid="6" name="_PreviousAdHocReviewCycleID">
    <vt:i4>622583048</vt:i4>
  </property>
  <property fmtid="{D5CDD505-2E9C-101B-9397-08002B2CF9AE}" pid="7" name="_ReviewingToolsShownOnce">
    <vt:lpwstr/>
  </property>
  <property fmtid="{D5CDD505-2E9C-101B-9397-08002B2CF9AE}" pid="8" name="ContentTypeId">
    <vt:lpwstr>0x0101009A2B82C78EE493448C7E9EBCB6991031</vt:lpwstr>
  </property>
  <property fmtid="{D5CDD505-2E9C-101B-9397-08002B2CF9AE}" pid="9" name="_dlc_DocIdItemGuid">
    <vt:lpwstr>9211c168-bdf9-4c1a-8b88-a855e598c502</vt:lpwstr>
  </property>
</Properties>
</file>