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8C2" w:rsidRPr="00A40EFE" w:rsidRDefault="004068C2" w:rsidP="004068C2">
      <w:pPr>
        <w:pStyle w:val="Heading2"/>
        <w:rPr>
          <w:color w:val="44546A" w:themeColor="text2"/>
          <w:sz w:val="22"/>
          <w:szCs w:val="22"/>
          <w:u w:val="single"/>
        </w:rPr>
      </w:pPr>
      <w:bookmarkStart w:id="0" w:name="_Toc62047991"/>
      <w:r w:rsidRPr="00A40EFE">
        <w:rPr>
          <w:color w:val="44546A" w:themeColor="text2"/>
          <w:u w:val="single"/>
        </w:rPr>
        <w:t xml:space="preserve">Exhibit </w:t>
      </w:r>
      <w:r w:rsidR="00BD69C2">
        <w:rPr>
          <w:color w:val="44546A" w:themeColor="text2"/>
          <w:u w:val="single"/>
        </w:rPr>
        <w:t>F</w:t>
      </w:r>
      <w:r w:rsidRPr="00A40EFE">
        <w:rPr>
          <w:color w:val="44546A" w:themeColor="text2"/>
          <w:u w:val="single"/>
        </w:rPr>
        <w:t xml:space="preserve">: </w:t>
      </w:r>
      <w:r w:rsidRPr="00A40EFE">
        <w:rPr>
          <w:color w:val="44546A" w:themeColor="text2"/>
          <w:u w:val="single"/>
        </w:rPr>
        <w:br/>
        <w:t xml:space="preserve">Insurance Requirements for </w:t>
      </w:r>
      <w:bookmarkEnd w:id="0"/>
      <w:r w:rsidR="00BD69C2">
        <w:rPr>
          <w:color w:val="44546A" w:themeColor="text2"/>
          <w:u w:val="single"/>
        </w:rPr>
        <w:t>Fireworks</w:t>
      </w:r>
      <w:r w:rsidRPr="00A40EFE">
        <w:rPr>
          <w:color w:val="44546A" w:themeColor="text2"/>
          <w:sz w:val="22"/>
          <w:szCs w:val="22"/>
          <w:u w:val="single"/>
        </w:rPr>
        <w:t xml:space="preserve"> </w:t>
      </w:r>
    </w:p>
    <w:p w:rsidR="004068C2" w:rsidRDefault="004068C2" w:rsidP="004068C2">
      <w:pPr>
        <w:autoSpaceDE w:val="0"/>
        <w:autoSpaceDN w:val="0"/>
        <w:adjustRightInd w:val="0"/>
        <w:spacing w:after="120"/>
        <w:rPr>
          <w:szCs w:val="24"/>
        </w:rPr>
      </w:pPr>
      <w:r w:rsidRPr="00AD38F0">
        <w:rPr>
          <w:szCs w:val="24"/>
        </w:rPr>
        <w:t>Contractor shall procure and maintain for the duration of the contract insurance against claims for injuries to persons or damages to property which may arise from or in connection with the performance of the work hereunder and the results of that work by the Contractor, his agents, representatives, employees or subcontractors.</w:t>
      </w:r>
    </w:p>
    <w:p w:rsidR="004068C2" w:rsidRPr="000B62F6" w:rsidRDefault="004068C2" w:rsidP="004068C2">
      <w:pPr>
        <w:spacing w:after="120"/>
        <w:rPr>
          <w:b/>
        </w:rPr>
      </w:pPr>
      <w:r w:rsidRPr="000B62F6">
        <w:rPr>
          <w:b/>
        </w:rPr>
        <w:t>M</w:t>
      </w:r>
      <w:r>
        <w:rPr>
          <w:b/>
        </w:rPr>
        <w:t>INIMUM SCOPE OF INSURANCE</w:t>
      </w:r>
      <w:r w:rsidRPr="000B62F6">
        <w:rPr>
          <w:b/>
        </w:rPr>
        <w:t xml:space="preserve"> </w:t>
      </w:r>
    </w:p>
    <w:p w:rsidR="004068C2" w:rsidRPr="00E24812" w:rsidRDefault="004068C2" w:rsidP="004068C2">
      <w:pPr>
        <w:spacing w:after="120"/>
        <w:rPr>
          <w:b/>
        </w:rPr>
      </w:pPr>
      <w:r w:rsidRPr="00E24812">
        <w:t>Coverage shall be at least as broad as:</w:t>
      </w:r>
    </w:p>
    <w:p w:rsidR="004068C2" w:rsidRDefault="004068C2" w:rsidP="004068C2">
      <w:pPr>
        <w:numPr>
          <w:ilvl w:val="0"/>
          <w:numId w:val="1"/>
        </w:numPr>
        <w:autoSpaceDE w:val="0"/>
        <w:autoSpaceDN w:val="0"/>
        <w:adjustRightInd w:val="0"/>
        <w:spacing w:after="120"/>
        <w:rPr>
          <w:b/>
          <w:szCs w:val="24"/>
        </w:rPr>
      </w:pPr>
      <w:r w:rsidRPr="00AD38F0">
        <w:rPr>
          <w:b/>
          <w:szCs w:val="24"/>
        </w:rPr>
        <w:t>Commercial General Liability</w:t>
      </w:r>
      <w:r w:rsidRPr="00AD38F0">
        <w:rPr>
          <w:szCs w:val="24"/>
        </w:rPr>
        <w:t xml:space="preserve"> (CGL):  Insuranc</w:t>
      </w:r>
      <w:r>
        <w:rPr>
          <w:szCs w:val="24"/>
        </w:rPr>
        <w:t>e Services Office Form CG 00 01</w:t>
      </w:r>
      <w:r w:rsidRPr="00AD38F0">
        <w:rPr>
          <w:szCs w:val="24"/>
        </w:rPr>
        <w:t xml:space="preserve"> covering CGL on an “occurrence” basis, including </w:t>
      </w:r>
      <w:r>
        <w:rPr>
          <w:szCs w:val="24"/>
        </w:rPr>
        <w:t xml:space="preserve">products and completed operations, </w:t>
      </w:r>
      <w:r w:rsidRPr="00AD38F0">
        <w:rPr>
          <w:szCs w:val="24"/>
        </w:rPr>
        <w:t>property damage, bodily injury and personal</w:t>
      </w:r>
      <w:r>
        <w:rPr>
          <w:szCs w:val="24"/>
        </w:rPr>
        <w:t xml:space="preserve"> &amp; advertising</w:t>
      </w:r>
      <w:r w:rsidRPr="00AD38F0">
        <w:rPr>
          <w:szCs w:val="24"/>
        </w:rPr>
        <w:t xml:space="preserve"> injury with limits no less than </w:t>
      </w:r>
      <w:r w:rsidRPr="00AD38F0">
        <w:rPr>
          <w:b/>
          <w:szCs w:val="24"/>
        </w:rPr>
        <w:t>$</w:t>
      </w:r>
      <w:r w:rsidR="003E2A01">
        <w:rPr>
          <w:b/>
          <w:szCs w:val="24"/>
        </w:rPr>
        <w:t>5,</w:t>
      </w:r>
      <w:r w:rsidRPr="00AD38F0">
        <w:rPr>
          <w:b/>
          <w:szCs w:val="24"/>
        </w:rPr>
        <w:t xml:space="preserve">000,000 </w:t>
      </w:r>
      <w:r w:rsidRPr="00AD38F0">
        <w:rPr>
          <w:szCs w:val="24"/>
        </w:rPr>
        <w:t xml:space="preserve">per occurrence. If a general aggregate limit applies, the general aggregate limit shall apply separately </w:t>
      </w:r>
      <w:r>
        <w:rPr>
          <w:szCs w:val="24"/>
        </w:rPr>
        <w:t xml:space="preserve">to this project/location </w:t>
      </w:r>
      <w:r w:rsidRPr="00284443">
        <w:rPr>
          <w:bCs/>
          <w:color w:val="000000" w:themeColor="text1"/>
          <w:szCs w:val="24"/>
        </w:rPr>
        <w:t xml:space="preserve">(ISO CG 25 03 </w:t>
      </w:r>
      <w:r>
        <w:rPr>
          <w:bCs/>
          <w:color w:val="000000" w:themeColor="text1"/>
          <w:szCs w:val="24"/>
        </w:rPr>
        <w:t xml:space="preserve">05 09 </w:t>
      </w:r>
      <w:r w:rsidRPr="00284443">
        <w:rPr>
          <w:bCs/>
          <w:color w:val="000000" w:themeColor="text1"/>
          <w:szCs w:val="24"/>
        </w:rPr>
        <w:t>or 25 04</w:t>
      </w:r>
      <w:r>
        <w:rPr>
          <w:bCs/>
          <w:color w:val="000000" w:themeColor="text1"/>
          <w:szCs w:val="24"/>
        </w:rPr>
        <w:t xml:space="preserve"> 05 09</w:t>
      </w:r>
      <w:r w:rsidRPr="00284443">
        <w:rPr>
          <w:color w:val="000000" w:themeColor="text1"/>
          <w:szCs w:val="24"/>
        </w:rPr>
        <w:t>)</w:t>
      </w:r>
      <w:r w:rsidR="00BD69C2">
        <w:rPr>
          <w:color w:val="000000" w:themeColor="text1"/>
          <w:szCs w:val="24"/>
        </w:rPr>
        <w:t>.</w:t>
      </w:r>
      <w:r w:rsidRPr="00AD38F0">
        <w:rPr>
          <w:szCs w:val="24"/>
        </w:rPr>
        <w:t xml:space="preserve">  </w:t>
      </w:r>
    </w:p>
    <w:p w:rsidR="004068C2" w:rsidRDefault="004068C2" w:rsidP="004068C2">
      <w:pPr>
        <w:numPr>
          <w:ilvl w:val="0"/>
          <w:numId w:val="1"/>
        </w:numPr>
        <w:autoSpaceDE w:val="0"/>
        <w:autoSpaceDN w:val="0"/>
        <w:adjustRightInd w:val="0"/>
        <w:spacing w:after="120"/>
        <w:rPr>
          <w:szCs w:val="24"/>
        </w:rPr>
      </w:pPr>
      <w:r w:rsidRPr="00AD38F0">
        <w:rPr>
          <w:b/>
          <w:szCs w:val="24"/>
        </w:rPr>
        <w:t xml:space="preserve">Automobile Liability:  </w:t>
      </w:r>
      <w:r w:rsidRPr="00AD38F0">
        <w:rPr>
          <w:szCs w:val="24"/>
        </w:rPr>
        <w:t xml:space="preserve">ISO Form Number CA 00 01 covering any auto (Code 1), or if Contractor has no owned autos, </w:t>
      </w:r>
      <w:r>
        <w:rPr>
          <w:szCs w:val="24"/>
        </w:rPr>
        <w:t xml:space="preserve">covering </w:t>
      </w:r>
      <w:r w:rsidRPr="00AD38F0">
        <w:rPr>
          <w:szCs w:val="24"/>
        </w:rPr>
        <w:t xml:space="preserve">hired, (Code 8) and non-owned autos (Code 9), with limit no less than </w:t>
      </w:r>
      <w:r w:rsidRPr="00AD38F0">
        <w:rPr>
          <w:b/>
          <w:szCs w:val="24"/>
        </w:rPr>
        <w:t xml:space="preserve">$1,000,000 </w:t>
      </w:r>
      <w:r w:rsidRPr="00AD38F0">
        <w:rPr>
          <w:szCs w:val="24"/>
        </w:rPr>
        <w:t>per accident for bodily injury and property damage.</w:t>
      </w:r>
    </w:p>
    <w:p w:rsidR="004068C2" w:rsidRDefault="004068C2" w:rsidP="004068C2">
      <w:pPr>
        <w:numPr>
          <w:ilvl w:val="0"/>
          <w:numId w:val="1"/>
        </w:numPr>
        <w:autoSpaceDE w:val="0"/>
        <w:autoSpaceDN w:val="0"/>
        <w:adjustRightInd w:val="0"/>
        <w:spacing w:after="120"/>
        <w:rPr>
          <w:b/>
          <w:i/>
          <w:szCs w:val="24"/>
        </w:rPr>
      </w:pPr>
      <w:r w:rsidRPr="00AD38F0">
        <w:rPr>
          <w:b/>
          <w:szCs w:val="24"/>
        </w:rPr>
        <w:t>Workers’ Compensation</w:t>
      </w:r>
      <w:r>
        <w:rPr>
          <w:b/>
          <w:szCs w:val="24"/>
        </w:rPr>
        <w:t xml:space="preserve">: </w:t>
      </w:r>
      <w:r w:rsidRPr="00AD38F0">
        <w:rPr>
          <w:szCs w:val="24"/>
        </w:rPr>
        <w:t xml:space="preserve">as required by the State of California, with Statutory Limits, and Employer’s Liability Insurance with limit of no less than </w:t>
      </w:r>
      <w:r w:rsidRPr="00AD38F0">
        <w:rPr>
          <w:b/>
          <w:szCs w:val="24"/>
        </w:rPr>
        <w:t xml:space="preserve">$1,000,000 </w:t>
      </w:r>
      <w:r w:rsidRPr="00AD38F0">
        <w:rPr>
          <w:szCs w:val="24"/>
        </w:rPr>
        <w:t xml:space="preserve">per accident for bodily injury or disease. </w:t>
      </w:r>
    </w:p>
    <w:p w:rsidR="004068C2" w:rsidRDefault="004068C2" w:rsidP="004068C2">
      <w:pPr>
        <w:pStyle w:val="BodyText"/>
        <w:spacing w:before="120"/>
        <w:rPr>
          <w:szCs w:val="24"/>
        </w:rPr>
      </w:pPr>
      <w:r w:rsidRPr="00AD38F0">
        <w:rPr>
          <w:szCs w:val="24"/>
        </w:rPr>
        <w:t xml:space="preserve">If the contractor </w:t>
      </w:r>
      <w:r w:rsidRPr="008B3BDD">
        <w:rPr>
          <w:color w:val="000000" w:themeColor="text1"/>
          <w:szCs w:val="24"/>
        </w:rPr>
        <w:t>maintains</w:t>
      </w:r>
      <w:r w:rsidRPr="008B3BDD">
        <w:rPr>
          <w:bCs/>
          <w:color w:val="000000" w:themeColor="text1"/>
          <w:szCs w:val="24"/>
        </w:rPr>
        <w:t xml:space="preserve"> broader coverage and/or </w:t>
      </w:r>
      <w:r w:rsidRPr="008B3BDD">
        <w:rPr>
          <w:color w:val="000000" w:themeColor="text1"/>
          <w:szCs w:val="24"/>
        </w:rPr>
        <w:t>higher limits than the minimums shown above, the Entity requires and shall be entitled to</w:t>
      </w:r>
      <w:r w:rsidRPr="008B3BDD">
        <w:rPr>
          <w:bCs/>
          <w:color w:val="000000" w:themeColor="text1"/>
          <w:szCs w:val="24"/>
        </w:rPr>
        <w:t xml:space="preserve"> the broader coverage and/or</w:t>
      </w:r>
      <w:r w:rsidRPr="008B3BDD">
        <w:rPr>
          <w:color w:val="000000" w:themeColor="text1"/>
          <w:szCs w:val="24"/>
        </w:rPr>
        <w:t xml:space="preserve"> higher </w:t>
      </w:r>
      <w:r>
        <w:rPr>
          <w:szCs w:val="24"/>
        </w:rPr>
        <w:t>limits</w:t>
      </w:r>
      <w:r w:rsidRPr="00AD38F0">
        <w:rPr>
          <w:szCs w:val="24"/>
        </w:rPr>
        <w:t xml:space="preserve"> maintained by the contractor.</w:t>
      </w:r>
    </w:p>
    <w:p w:rsidR="004068C2" w:rsidRDefault="004068C2" w:rsidP="004068C2">
      <w:pPr>
        <w:pStyle w:val="BodyText"/>
        <w:spacing w:before="120" w:after="0"/>
        <w:rPr>
          <w:b/>
          <w:szCs w:val="24"/>
        </w:rPr>
      </w:pPr>
      <w:r w:rsidRPr="00AD38F0">
        <w:rPr>
          <w:b/>
          <w:szCs w:val="24"/>
        </w:rPr>
        <w:t>Other Insurance Provisions</w:t>
      </w:r>
    </w:p>
    <w:p w:rsidR="004068C2" w:rsidRDefault="004068C2" w:rsidP="004068C2">
      <w:pPr>
        <w:autoSpaceDE w:val="0"/>
        <w:autoSpaceDN w:val="0"/>
        <w:adjustRightInd w:val="0"/>
        <w:spacing w:after="120"/>
        <w:rPr>
          <w:szCs w:val="24"/>
        </w:rPr>
      </w:pPr>
      <w:r w:rsidRPr="00AD38F0">
        <w:rPr>
          <w:szCs w:val="24"/>
        </w:rPr>
        <w:t>The insurance policies are to contain, or be endorsed to contain, the following provisions:</w:t>
      </w:r>
    </w:p>
    <w:p w:rsidR="004068C2" w:rsidRDefault="004068C2" w:rsidP="004068C2">
      <w:pPr>
        <w:autoSpaceDE w:val="0"/>
        <w:autoSpaceDN w:val="0"/>
        <w:adjustRightInd w:val="0"/>
        <w:spacing w:before="120"/>
        <w:rPr>
          <w:b/>
          <w:i/>
          <w:szCs w:val="24"/>
        </w:rPr>
      </w:pPr>
      <w:r w:rsidRPr="00AD38F0">
        <w:rPr>
          <w:b/>
          <w:i/>
          <w:szCs w:val="24"/>
        </w:rPr>
        <w:t>Additional Insured Status</w:t>
      </w:r>
    </w:p>
    <w:p w:rsidR="004068C2" w:rsidRDefault="004068C2" w:rsidP="004068C2">
      <w:pPr>
        <w:autoSpaceDE w:val="0"/>
        <w:autoSpaceDN w:val="0"/>
        <w:adjustRightInd w:val="0"/>
        <w:spacing w:after="120"/>
        <w:rPr>
          <w:szCs w:val="24"/>
        </w:rPr>
      </w:pPr>
      <w:r w:rsidRPr="00AD38F0">
        <w:rPr>
          <w:b/>
          <w:szCs w:val="24"/>
        </w:rPr>
        <w:t>The Entity, its officers, officials, employees, and volunteers are to be</w:t>
      </w:r>
      <w:r w:rsidRPr="00AD38F0">
        <w:rPr>
          <w:szCs w:val="24"/>
        </w:rPr>
        <w:t xml:space="preserve"> </w:t>
      </w:r>
      <w:r w:rsidRPr="00AD38F0">
        <w:rPr>
          <w:b/>
          <w:szCs w:val="24"/>
        </w:rPr>
        <w:t xml:space="preserve">covered as </w:t>
      </w:r>
      <w:r>
        <w:rPr>
          <w:b/>
          <w:szCs w:val="24"/>
        </w:rPr>
        <w:t xml:space="preserve">additional </w:t>
      </w:r>
      <w:r w:rsidRPr="00AD38F0">
        <w:rPr>
          <w:b/>
          <w:szCs w:val="24"/>
        </w:rPr>
        <w:t>insureds</w:t>
      </w:r>
      <w:r w:rsidRPr="00AD38F0">
        <w:rPr>
          <w:szCs w:val="24"/>
        </w:rPr>
        <w:t xml:space="preserve">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w:t>
      </w:r>
      <w:r>
        <w:rPr>
          <w:szCs w:val="24"/>
        </w:rPr>
        <w:t>t as broad as ISO Form CG 20 10</w:t>
      </w:r>
      <w:r w:rsidRPr="00AD38F0">
        <w:rPr>
          <w:szCs w:val="24"/>
        </w:rPr>
        <w:t xml:space="preserve"> 11 85 or </w:t>
      </w:r>
      <w:r w:rsidRPr="007B5EF0">
        <w:rPr>
          <w:b/>
          <w:bCs/>
          <w:szCs w:val="24"/>
        </w:rPr>
        <w:t>both</w:t>
      </w:r>
      <w:r w:rsidRPr="00AD38F0">
        <w:rPr>
          <w:szCs w:val="24"/>
        </w:rPr>
        <w:t xml:space="preserve"> CG 20 10</w:t>
      </w:r>
      <w:r>
        <w:rPr>
          <w:szCs w:val="24"/>
        </w:rPr>
        <w:t xml:space="preserve">, </w:t>
      </w:r>
      <w:r w:rsidRPr="008B3BDD">
        <w:rPr>
          <w:bCs/>
          <w:color w:val="000000" w:themeColor="text1"/>
          <w:szCs w:val="24"/>
        </w:rPr>
        <w:t>CG 20 26, CG 20 33, or CG 20 38</w:t>
      </w:r>
      <w:r>
        <w:rPr>
          <w:szCs w:val="24"/>
        </w:rPr>
        <w:t>;</w:t>
      </w:r>
      <w:r w:rsidRPr="00AD38F0">
        <w:rPr>
          <w:szCs w:val="24"/>
        </w:rPr>
        <w:t xml:space="preserve"> </w:t>
      </w:r>
      <w:r w:rsidRPr="008B3BDD">
        <w:rPr>
          <w:b/>
          <w:szCs w:val="24"/>
          <w:u w:val="single"/>
        </w:rPr>
        <w:t>and</w:t>
      </w:r>
      <w:r w:rsidRPr="00AD38F0">
        <w:rPr>
          <w:szCs w:val="24"/>
        </w:rPr>
        <w:t xml:space="preserve"> CG 20 37 forms if later revisions used).</w:t>
      </w:r>
    </w:p>
    <w:p w:rsidR="004068C2" w:rsidRDefault="004068C2" w:rsidP="004068C2">
      <w:pPr>
        <w:autoSpaceDE w:val="0"/>
        <w:autoSpaceDN w:val="0"/>
        <w:adjustRightInd w:val="0"/>
        <w:spacing w:after="120"/>
        <w:rPr>
          <w:b/>
          <w:i/>
          <w:szCs w:val="24"/>
        </w:rPr>
      </w:pPr>
      <w:r w:rsidRPr="00AD38F0">
        <w:rPr>
          <w:b/>
          <w:i/>
          <w:szCs w:val="24"/>
        </w:rPr>
        <w:t>Primary Coverage</w:t>
      </w:r>
    </w:p>
    <w:p w:rsidR="004068C2" w:rsidRDefault="004068C2" w:rsidP="004068C2">
      <w:pPr>
        <w:autoSpaceDE w:val="0"/>
        <w:autoSpaceDN w:val="0"/>
        <w:adjustRightInd w:val="0"/>
        <w:spacing w:after="120"/>
        <w:rPr>
          <w:szCs w:val="24"/>
        </w:rPr>
      </w:pPr>
      <w:r w:rsidRPr="00AD38F0">
        <w:rPr>
          <w:szCs w:val="24"/>
        </w:rPr>
        <w:t xml:space="preserve">For any claims related to this contract, the </w:t>
      </w:r>
      <w:r w:rsidRPr="00AD38F0">
        <w:rPr>
          <w:b/>
          <w:szCs w:val="24"/>
        </w:rPr>
        <w:t>Contractor’s insurance coverage shall be primary</w:t>
      </w:r>
      <w:r w:rsidRPr="00AD38F0">
        <w:rPr>
          <w:szCs w:val="24"/>
        </w:rPr>
        <w:t xml:space="preserve"> insurance</w:t>
      </w:r>
      <w:r>
        <w:rPr>
          <w:szCs w:val="24"/>
        </w:rPr>
        <w:t xml:space="preserve"> </w:t>
      </w:r>
      <w:r w:rsidRPr="00CF46C9">
        <w:rPr>
          <w:bCs/>
          <w:color w:val="000000" w:themeColor="text1"/>
          <w:szCs w:val="24"/>
        </w:rPr>
        <w:t>coverage at least as broad as ISO CG 20 01 04 13</w:t>
      </w:r>
      <w:r w:rsidRPr="00CF46C9">
        <w:rPr>
          <w:color w:val="000000" w:themeColor="text1"/>
          <w:szCs w:val="24"/>
        </w:rPr>
        <w:t xml:space="preserve"> </w:t>
      </w:r>
      <w:r w:rsidRPr="00AD38F0">
        <w:rPr>
          <w:szCs w:val="24"/>
        </w:rPr>
        <w:t>as respects the Entity, its officers, officials, employees, and volunteers. Any insurance or self-insurance maintained by the Entity, its officers, officials, employees, or volunteers shall be excess of the Contractor’s insurance a</w:t>
      </w:r>
      <w:r>
        <w:rPr>
          <w:szCs w:val="24"/>
        </w:rPr>
        <w:t>nd shall not contribute with it.</w:t>
      </w:r>
    </w:p>
    <w:p w:rsidR="004068C2" w:rsidRDefault="004068C2" w:rsidP="004068C2">
      <w:pPr>
        <w:autoSpaceDE w:val="0"/>
        <w:autoSpaceDN w:val="0"/>
        <w:adjustRightInd w:val="0"/>
        <w:spacing w:before="120"/>
        <w:rPr>
          <w:b/>
          <w:i/>
          <w:szCs w:val="24"/>
        </w:rPr>
      </w:pPr>
      <w:r w:rsidRPr="00AD38F0">
        <w:rPr>
          <w:b/>
          <w:i/>
          <w:szCs w:val="24"/>
        </w:rPr>
        <w:t>Notice of Cancellation</w:t>
      </w:r>
    </w:p>
    <w:p w:rsidR="004068C2" w:rsidRDefault="004068C2" w:rsidP="004068C2">
      <w:pPr>
        <w:autoSpaceDE w:val="0"/>
        <w:autoSpaceDN w:val="0"/>
        <w:adjustRightInd w:val="0"/>
        <w:spacing w:after="120"/>
        <w:rPr>
          <w:szCs w:val="24"/>
        </w:rPr>
      </w:pPr>
      <w:r w:rsidRPr="00AD38F0">
        <w:rPr>
          <w:szCs w:val="24"/>
        </w:rPr>
        <w:t xml:space="preserve">Each insurance policy required above shall provide that </w:t>
      </w:r>
      <w:r w:rsidRPr="00AD38F0">
        <w:rPr>
          <w:b/>
          <w:szCs w:val="24"/>
        </w:rPr>
        <w:t xml:space="preserve">coverage shall not be canceled, except </w:t>
      </w:r>
      <w:r>
        <w:rPr>
          <w:b/>
          <w:szCs w:val="24"/>
        </w:rPr>
        <w:t>with notice to the Entity.</w:t>
      </w:r>
    </w:p>
    <w:p w:rsidR="004068C2" w:rsidRDefault="004068C2" w:rsidP="004068C2">
      <w:pPr>
        <w:autoSpaceDE w:val="0"/>
        <w:autoSpaceDN w:val="0"/>
        <w:adjustRightInd w:val="0"/>
        <w:spacing w:before="120"/>
        <w:rPr>
          <w:i/>
          <w:szCs w:val="24"/>
        </w:rPr>
      </w:pPr>
      <w:r w:rsidRPr="00AD38F0">
        <w:rPr>
          <w:b/>
          <w:i/>
          <w:szCs w:val="24"/>
        </w:rPr>
        <w:t>Waiver of Subrogation</w:t>
      </w:r>
    </w:p>
    <w:p w:rsidR="004068C2" w:rsidRDefault="004068C2" w:rsidP="004068C2">
      <w:pPr>
        <w:pStyle w:val="DefaultText"/>
        <w:spacing w:after="120"/>
        <w:rPr>
          <w:color w:val="FFFFFF"/>
          <w:szCs w:val="24"/>
        </w:rPr>
      </w:pPr>
      <w:r w:rsidRPr="00AD38F0">
        <w:rPr>
          <w:szCs w:val="24"/>
        </w:rPr>
        <w:t xml:space="preserve">Contractor hereby grants to Entity a waiver of any right to subrogation which any insurer of said Contractor may acquire against the Entity by virtue of the payment of any loss under such insurance.  Contractor agrees to obtain any endorsement that may be necessary to affect this waiver of subrogation, but this provision applies regardless of whether or not the Entity has received a waiver of subrogation endorsement from the insurer.  </w:t>
      </w:r>
    </w:p>
    <w:p w:rsidR="004068C2" w:rsidRDefault="004068C2" w:rsidP="004068C2">
      <w:pPr>
        <w:pStyle w:val="Caption"/>
        <w:spacing w:before="120"/>
        <w:rPr>
          <w:rFonts w:ascii="Times New Roman" w:hAnsi="Times New Roman"/>
          <w:i/>
          <w:szCs w:val="24"/>
        </w:rPr>
      </w:pPr>
      <w:r w:rsidRPr="00AD38F0">
        <w:rPr>
          <w:rFonts w:ascii="Times New Roman" w:hAnsi="Times New Roman"/>
          <w:i/>
          <w:szCs w:val="24"/>
        </w:rPr>
        <w:t>Self-Insured Retentions</w:t>
      </w:r>
    </w:p>
    <w:p w:rsidR="004068C2" w:rsidRDefault="004068C2" w:rsidP="004068C2">
      <w:pPr>
        <w:autoSpaceDE w:val="0"/>
        <w:autoSpaceDN w:val="0"/>
        <w:adjustRightInd w:val="0"/>
        <w:spacing w:after="120"/>
        <w:rPr>
          <w:szCs w:val="24"/>
        </w:rPr>
      </w:pPr>
      <w:r w:rsidRPr="00067CEB">
        <w:rPr>
          <w:color w:val="000000"/>
          <w:szCs w:val="24"/>
        </w:rPr>
        <w:t>S</w:t>
      </w:r>
      <w:r w:rsidRPr="00AD38F0">
        <w:rPr>
          <w:szCs w:val="24"/>
        </w:rPr>
        <w:t xml:space="preserve">elf-insured retentions must be declared to and approved by the Entity. The Entity may require the Contractor to purchase coverage with a lower retention or provide proof of ability to pay losses and related investigations, claim administration, and defense expenses within the retention.  </w:t>
      </w:r>
      <w:r w:rsidRPr="007B221E">
        <w:rPr>
          <w:bCs/>
          <w:color w:val="000000" w:themeColor="text1"/>
          <w:szCs w:val="24"/>
        </w:rPr>
        <w:t>T</w:t>
      </w:r>
      <w:r w:rsidRPr="007B221E">
        <w:rPr>
          <w:bCs/>
          <w:color w:val="000000" w:themeColor="text1"/>
        </w:rPr>
        <w:t>he policy language shall provide, or be endorsed to provide, that the self-insured retention may be satisfied by either the named insured or Entity</w:t>
      </w:r>
      <w:r w:rsidRPr="007B221E">
        <w:rPr>
          <w:color w:val="000000" w:themeColor="text1"/>
        </w:rPr>
        <w:t>.</w:t>
      </w:r>
      <w:r w:rsidRPr="00966298">
        <w:rPr>
          <w:rFonts w:ascii="Times New Roman Bold" w:hAnsi="Times New Roman Bold"/>
          <w:b/>
          <w:noProof/>
          <w:spacing w:val="-2"/>
          <w:sz w:val="20"/>
        </w:rPr>
        <w:t xml:space="preserve"> </w:t>
      </w:r>
    </w:p>
    <w:p w:rsidR="004068C2" w:rsidRPr="00AB6B13" w:rsidRDefault="004068C2" w:rsidP="004068C2">
      <w:pPr>
        <w:autoSpaceDE w:val="0"/>
        <w:autoSpaceDN w:val="0"/>
        <w:adjustRightInd w:val="0"/>
        <w:spacing w:before="120"/>
        <w:rPr>
          <w:b/>
          <w:i/>
          <w:szCs w:val="24"/>
        </w:rPr>
      </w:pPr>
      <w:r w:rsidRPr="00AD38F0">
        <w:rPr>
          <w:b/>
          <w:i/>
          <w:szCs w:val="24"/>
        </w:rPr>
        <w:t>Acceptability of Insurers</w:t>
      </w:r>
    </w:p>
    <w:p w:rsidR="004068C2" w:rsidRDefault="004068C2" w:rsidP="004068C2">
      <w:pPr>
        <w:autoSpaceDE w:val="0"/>
        <w:autoSpaceDN w:val="0"/>
        <w:adjustRightInd w:val="0"/>
        <w:spacing w:after="120"/>
        <w:rPr>
          <w:szCs w:val="24"/>
        </w:rPr>
      </w:pPr>
      <w:r w:rsidRPr="00AD38F0">
        <w:rPr>
          <w:szCs w:val="24"/>
        </w:rPr>
        <w:t xml:space="preserve">Insurance is to be placed with insurers </w:t>
      </w:r>
      <w:r>
        <w:rPr>
          <w:szCs w:val="24"/>
        </w:rPr>
        <w:t xml:space="preserve">authorized to conduct business in the state </w:t>
      </w:r>
      <w:r w:rsidRPr="00AD38F0">
        <w:rPr>
          <w:szCs w:val="24"/>
        </w:rPr>
        <w:t>with a current A.M. Best’s rating of no less than A:VII, unless otherwise acceptable to the Entity.</w:t>
      </w:r>
    </w:p>
    <w:p w:rsidR="004068C2" w:rsidRDefault="004068C2" w:rsidP="004068C2">
      <w:pPr>
        <w:autoSpaceDE w:val="0"/>
        <w:autoSpaceDN w:val="0"/>
        <w:adjustRightInd w:val="0"/>
        <w:spacing w:before="120"/>
        <w:rPr>
          <w:b/>
          <w:i/>
          <w:szCs w:val="24"/>
        </w:rPr>
      </w:pPr>
      <w:r w:rsidRPr="00AD38F0">
        <w:rPr>
          <w:b/>
          <w:i/>
          <w:szCs w:val="24"/>
        </w:rPr>
        <w:t>Verification of Coverage</w:t>
      </w:r>
    </w:p>
    <w:p w:rsidR="004068C2" w:rsidRDefault="004068C2" w:rsidP="004068C2">
      <w:pPr>
        <w:autoSpaceDE w:val="0"/>
        <w:autoSpaceDN w:val="0"/>
        <w:adjustRightInd w:val="0"/>
        <w:spacing w:after="120"/>
        <w:rPr>
          <w:szCs w:val="24"/>
        </w:rPr>
      </w:pPr>
      <w:r w:rsidRPr="00AD38F0">
        <w:rPr>
          <w:szCs w:val="24"/>
        </w:rPr>
        <w:t xml:space="preserve">Contractor shall furnish the Entity with original certificates and amendatory endorsements or copies of the applicable policy language effecting coverage required by this clause.  All certificates and endorsements are to be received and approved by the Entity before work commences.  However, failure to obtain the required documents prior to the work beginning shall not waive the Contractor’s obligation to provide them.  The Entity reserves the right to require complete, certified copies of all required insurance policies, including endorsements required by these specifications, at any time. </w:t>
      </w:r>
    </w:p>
    <w:p w:rsidR="004068C2" w:rsidRPr="00AB6B13" w:rsidRDefault="004068C2" w:rsidP="004068C2">
      <w:pPr>
        <w:keepNext/>
        <w:spacing w:before="120"/>
        <w:rPr>
          <w:szCs w:val="24"/>
        </w:rPr>
      </w:pPr>
      <w:r w:rsidRPr="00AD38F0">
        <w:rPr>
          <w:b/>
          <w:i/>
          <w:szCs w:val="24"/>
        </w:rPr>
        <w:t>Special Risks or Circumstances</w:t>
      </w:r>
    </w:p>
    <w:p w:rsidR="004068C2" w:rsidRDefault="004068C2" w:rsidP="004068C2">
      <w:pPr>
        <w:spacing w:after="120"/>
        <w:rPr>
          <w:szCs w:val="24"/>
        </w:rPr>
      </w:pPr>
      <w:r w:rsidRPr="00AD38F0">
        <w:rPr>
          <w:szCs w:val="24"/>
        </w:rPr>
        <w:t>Entity reserves the right to modify these requirements, including limits, based on the nature of the risk, prior experience, insurer, coverage, or other special circumsta</w:t>
      </w:r>
      <w:r>
        <w:rPr>
          <w:szCs w:val="24"/>
        </w:rPr>
        <w:t>nces.</w:t>
      </w:r>
    </w:p>
    <w:p w:rsidR="004068C2" w:rsidRDefault="004068C2" w:rsidP="004068C2">
      <w:pPr>
        <w:autoSpaceDE w:val="0"/>
        <w:autoSpaceDN w:val="0"/>
        <w:adjustRightInd w:val="0"/>
        <w:spacing w:after="120"/>
        <w:rPr>
          <w:b/>
          <w:sz w:val="22"/>
          <w:szCs w:val="22"/>
        </w:rPr>
      </w:pPr>
      <w:bookmarkStart w:id="1" w:name="_GoBack"/>
      <w:bookmarkEnd w:id="1"/>
    </w:p>
    <w:sectPr w:rsidR="004068C2" w:rsidSect="004068C2">
      <w:pgSz w:w="12240" w:h="15840"/>
      <w:pgMar w:top="5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120E01"/>
    <w:multiLevelType w:val="hybridMultilevel"/>
    <w:tmpl w:val="16040092"/>
    <w:lvl w:ilvl="0" w:tplc="2B165416">
      <w:start w:val="1"/>
      <w:numFmt w:val="decimal"/>
      <w:lvlText w:val="%1."/>
      <w:lvlJc w:val="left"/>
      <w:pPr>
        <w:ind w:left="720" w:hanging="360"/>
      </w:pPr>
      <w:rPr>
        <w:rFonts w:cs="Times New Roman"/>
        <w:b w:val="0"/>
        <w:i w:val="0"/>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 w15:restartNumberingAfterBreak="0">
    <w:nsid w:val="65AA7367"/>
    <w:multiLevelType w:val="hybridMultilevel"/>
    <w:tmpl w:val="2A92864A"/>
    <w:lvl w:ilvl="0" w:tplc="6E46126E">
      <w:start w:val="1"/>
      <w:numFmt w:val="decimal"/>
      <w:lvlText w:val="%1."/>
      <w:lvlJc w:val="left"/>
      <w:pPr>
        <w:tabs>
          <w:tab w:val="num" w:pos="720"/>
        </w:tabs>
        <w:ind w:left="720" w:hanging="360"/>
      </w:pPr>
      <w:rPr>
        <w:rFonts w:cs="Times New Roman"/>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8C2"/>
    <w:rsid w:val="003E2A01"/>
    <w:rsid w:val="004068C2"/>
    <w:rsid w:val="00BD69C2"/>
    <w:rsid w:val="00DF2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B16935-79F7-476A-A710-7C0C42AA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8C2"/>
    <w:pPr>
      <w:spacing w:after="0" w:line="240" w:lineRule="auto"/>
      <w:jc w:val="both"/>
    </w:pPr>
    <w:rPr>
      <w:rFonts w:ascii="Times New Roman" w:eastAsia="Times New Roman" w:hAnsi="Times New Roman" w:cs="Times New Roman"/>
      <w:sz w:val="24"/>
      <w:szCs w:val="20"/>
    </w:rPr>
  </w:style>
  <w:style w:type="paragraph" w:styleId="Heading2">
    <w:name w:val="heading 2"/>
    <w:aliases w:val="h2"/>
    <w:basedOn w:val="Normal"/>
    <w:next w:val="Normal"/>
    <w:link w:val="Heading2Char1"/>
    <w:uiPriority w:val="99"/>
    <w:qFormat/>
    <w:rsid w:val="004068C2"/>
    <w:pPr>
      <w:keepNext/>
      <w:spacing w:before="120" w:after="120"/>
      <w:jc w:val="center"/>
      <w:outlineLvl w:val="1"/>
    </w:pPr>
    <w:rPr>
      <w:rFonts w:ascii="Times New Roman Bold" w:hAnsi="Times New Roman Bold"/>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4068C2"/>
    <w:rPr>
      <w:rFonts w:asciiTheme="majorHAnsi" w:eastAsiaTheme="majorEastAsia" w:hAnsiTheme="majorHAnsi" w:cstheme="majorBidi"/>
      <w:color w:val="2E74B5" w:themeColor="accent1" w:themeShade="BF"/>
      <w:sz w:val="26"/>
      <w:szCs w:val="26"/>
    </w:rPr>
  </w:style>
  <w:style w:type="paragraph" w:styleId="BodyText">
    <w:name w:val="Body Text"/>
    <w:aliases w:val="bt"/>
    <w:basedOn w:val="Normal"/>
    <w:link w:val="BodyTextChar1"/>
    <w:uiPriority w:val="99"/>
    <w:rsid w:val="004068C2"/>
    <w:pPr>
      <w:spacing w:after="120"/>
    </w:pPr>
  </w:style>
  <w:style w:type="character" w:customStyle="1" w:styleId="BodyTextChar">
    <w:name w:val="Body Text Char"/>
    <w:basedOn w:val="DefaultParagraphFont"/>
    <w:uiPriority w:val="99"/>
    <w:semiHidden/>
    <w:rsid w:val="004068C2"/>
    <w:rPr>
      <w:rFonts w:ascii="Times New Roman" w:eastAsia="Times New Roman" w:hAnsi="Times New Roman" w:cs="Times New Roman"/>
      <w:sz w:val="24"/>
      <w:szCs w:val="20"/>
    </w:rPr>
  </w:style>
  <w:style w:type="paragraph" w:customStyle="1" w:styleId="DefaultText">
    <w:name w:val="Default Text"/>
    <w:basedOn w:val="Normal"/>
    <w:uiPriority w:val="99"/>
    <w:rsid w:val="004068C2"/>
  </w:style>
  <w:style w:type="paragraph" w:styleId="Caption">
    <w:name w:val="caption"/>
    <w:basedOn w:val="Normal"/>
    <w:next w:val="Normal"/>
    <w:uiPriority w:val="99"/>
    <w:qFormat/>
    <w:rsid w:val="004068C2"/>
    <w:pPr>
      <w:tabs>
        <w:tab w:val="right" w:pos="10944"/>
      </w:tabs>
    </w:pPr>
    <w:rPr>
      <w:rFonts w:ascii="Times New Roman Bold" w:hAnsi="Times New Roman Bold"/>
      <w:b/>
    </w:rPr>
  </w:style>
  <w:style w:type="character" w:customStyle="1" w:styleId="BodyTextChar1">
    <w:name w:val="Body Text Char1"/>
    <w:aliases w:val="bt Char"/>
    <w:link w:val="BodyText"/>
    <w:uiPriority w:val="99"/>
    <w:locked/>
    <w:rsid w:val="004068C2"/>
    <w:rPr>
      <w:rFonts w:ascii="Times New Roman" w:eastAsia="Times New Roman" w:hAnsi="Times New Roman" w:cs="Times New Roman"/>
      <w:sz w:val="24"/>
      <w:szCs w:val="20"/>
    </w:rPr>
  </w:style>
  <w:style w:type="character" w:customStyle="1" w:styleId="Heading2Char1">
    <w:name w:val="Heading 2 Char1"/>
    <w:aliases w:val="h2 Char"/>
    <w:link w:val="Heading2"/>
    <w:uiPriority w:val="99"/>
    <w:locked/>
    <w:rsid w:val="004068C2"/>
    <w:rPr>
      <w:rFonts w:ascii="Times New Roman Bold" w:eastAsia="Times New Roman" w:hAnsi="Times New Roman Bold" w:cs="Times New Roman"/>
      <w:b/>
      <w:bCs/>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Alliant Insurance Services, Inc.</Company>
  <LinksUpToDate>false</LinksUpToDate>
  <CharactersWithSpaces>4800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Beverly</dc:creator>
  <cp:keywords/>
  <dc:description/>
  <cp:lastModifiedBy>Marcus Beverly</cp:lastModifiedBy>
  <cp:revision>2</cp:revision>
  <dcterms:created xsi:type="dcterms:W3CDTF">2021-04-23T00:28:00Z</dcterms:created>
  <dcterms:modified xsi:type="dcterms:W3CDTF">2021-04-23T00:28:00Z</dcterms:modified>
</cp:coreProperties>
</file>